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tabs>
          <w:tab w:pos="5044" w:val="left" w:leader="none"/>
        </w:tabs>
        <w:spacing w:line="218" w:lineRule="auto" w:before="83"/>
        <w:ind w:left="6789" w:right="177" w:hanging="6610"/>
        <w:jc w:val="right"/>
        <w:rPr>
          <w:sz w:val="18"/>
        </w:rPr>
      </w:pPr>
      <w:r>
        <w:rPr>
          <w:sz w:val="18"/>
        </w:rPr>
        <mc:AlternateContent>
          <mc:Choice Requires="wps">
            <w:drawing>
              <wp:anchor distT="0" distB="0" distL="0" distR="0" allowOverlap="1" layoutInCell="1" locked="0" behindDoc="1" simplePos="0" relativeHeight="487071744">
                <wp:simplePos x="0" y="0"/>
                <wp:positionH relativeFrom="page">
                  <wp:posOffset>1028700</wp:posOffset>
                </wp:positionH>
                <wp:positionV relativeFrom="paragraph">
                  <wp:posOffset>88900</wp:posOffset>
                </wp:positionV>
                <wp:extent cx="5257800" cy="7315200"/>
                <wp:effectExtent l="0" t="0" r="0" b="0"/>
                <wp:wrapNone/>
                <wp:docPr id="1" name="Graphic 1"/>
                <wp:cNvGraphicFramePr>
                  <a:graphicFrameLocks/>
                </wp:cNvGraphicFramePr>
                <a:graphic>
                  <a:graphicData uri="http://schemas.microsoft.com/office/word/2010/wordprocessingShape">
                    <wps:wsp>
                      <wps:cNvPr id="1" name="Graphic 1"/>
                      <wps:cNvSpPr/>
                      <wps:spPr>
                        <a:xfrm>
                          <a:off x="0" y="0"/>
                          <a:ext cx="5257800" cy="7315200"/>
                        </a:xfrm>
                        <a:custGeom>
                          <a:avLst/>
                          <a:gdLst/>
                          <a:ahLst/>
                          <a:cxnLst/>
                          <a:rect l="l" t="t" r="r" b="b"/>
                          <a:pathLst>
                            <a:path w="5257800" h="7315200">
                              <a:moveTo>
                                <a:pt x="0" y="0"/>
                              </a:moveTo>
                              <a:lnTo>
                                <a:pt x="5257800" y="0"/>
                              </a:lnTo>
                              <a:lnTo>
                                <a:pt x="5257800" y="7315200"/>
                              </a:lnTo>
                              <a:lnTo>
                                <a:pt x="0" y="7315200"/>
                              </a:lnTo>
                              <a:lnTo>
                                <a:pt x="0" y="0"/>
                              </a:lnTo>
                              <a:close/>
                            </a:path>
                          </a:pathLst>
                        </a:custGeom>
                        <a:ln w="2541">
                          <a:solidFill>
                            <a:srgbClr val="E6E7E8"/>
                          </a:solidFill>
                          <a:prstDash val="solid"/>
                        </a:ln>
                      </wps:spPr>
                      <wps:bodyPr wrap="square" lIns="0" tIns="0" rIns="0" bIns="0" rtlCol="0">
                        <a:prstTxWarp prst="textNoShape">
                          <a:avLst/>
                        </a:prstTxWarp>
                        <a:noAutofit/>
                      </wps:bodyPr>
                    </wps:wsp>
                  </a:graphicData>
                </a:graphic>
              </wp:anchor>
            </w:drawing>
          </mc:Choice>
          <mc:Fallback>
            <w:pict>
              <v:rect style="position:absolute;margin-left:81pt;margin-top:7pt;width:414pt;height:576pt;mso-position-horizontal-relative:page;mso-position-vertical-relative:paragraph;z-index:-16244736" id="docshape1" filled="false" stroked="true" strokeweight=".2001pt" strokecolor="#e6e7e8">
                <v:stroke dashstyle="solid"/>
                <w10:wrap type="none"/>
              </v:rect>
            </w:pict>
          </mc:Fallback>
        </mc:AlternateContent>
      </w:r>
      <w:bookmarkStart w:name="Page 57" w:id="1"/>
      <w:bookmarkEnd w:id="1"/>
      <w:r>
        <w:rPr/>
      </w:r>
      <w:r>
        <w:rPr>
          <w:color w:val="131515"/>
          <w:sz w:val="20"/>
        </w:rPr>
        <w:t>ISSN</w:t>
      </w:r>
      <w:r>
        <w:rPr>
          <w:color w:val="131515"/>
          <w:spacing w:val="40"/>
          <w:sz w:val="20"/>
        </w:rPr>
        <w:t> </w:t>
      </w:r>
      <w:r>
        <w:rPr>
          <w:color w:val="131515"/>
          <w:sz w:val="20"/>
        </w:rPr>
        <w:t>2413-3116</w:t>
        <w:tab/>
      </w:r>
      <w:r>
        <w:rPr>
          <w:color w:val="262626"/>
          <w:position w:val="1"/>
          <w:sz w:val="18"/>
        </w:rPr>
        <w:t>Comilla</w:t>
      </w:r>
      <w:r>
        <w:rPr>
          <w:color w:val="262626"/>
          <w:spacing w:val="-10"/>
          <w:position w:val="1"/>
          <w:sz w:val="18"/>
        </w:rPr>
        <w:t> </w:t>
      </w:r>
      <w:r>
        <w:rPr>
          <w:color w:val="262626"/>
          <w:position w:val="1"/>
          <w:sz w:val="18"/>
        </w:rPr>
        <w:t>University</w:t>
      </w:r>
      <w:r>
        <w:rPr>
          <w:color w:val="262626"/>
          <w:spacing w:val="-6"/>
          <w:position w:val="1"/>
          <w:sz w:val="18"/>
        </w:rPr>
        <w:t> </w:t>
      </w:r>
      <w:r>
        <w:rPr>
          <w:color w:val="131515"/>
          <w:position w:val="1"/>
          <w:sz w:val="18"/>
        </w:rPr>
        <w:t>Journal</w:t>
      </w:r>
      <w:r>
        <w:rPr>
          <w:color w:val="131515"/>
          <w:spacing w:val="-6"/>
          <w:position w:val="1"/>
          <w:sz w:val="18"/>
        </w:rPr>
        <w:t> </w:t>
      </w:r>
      <w:r>
        <w:rPr>
          <w:color w:val="131515"/>
          <w:position w:val="1"/>
          <w:sz w:val="18"/>
        </w:rPr>
        <w:t>of</w:t>
      </w:r>
      <w:r>
        <w:rPr>
          <w:color w:val="131515"/>
          <w:spacing w:val="-12"/>
          <w:position w:val="1"/>
          <w:sz w:val="18"/>
        </w:rPr>
        <w:t> </w:t>
      </w:r>
      <w:r>
        <w:rPr>
          <w:color w:val="262626"/>
          <w:position w:val="1"/>
          <w:sz w:val="18"/>
        </w:rPr>
        <w:t>Business</w:t>
      </w:r>
      <w:r>
        <w:rPr>
          <w:color w:val="262626"/>
          <w:spacing w:val="-4"/>
          <w:position w:val="1"/>
          <w:sz w:val="18"/>
        </w:rPr>
        <w:t> </w:t>
      </w:r>
      <w:r>
        <w:rPr>
          <w:color w:val="131515"/>
          <w:position w:val="1"/>
          <w:sz w:val="18"/>
        </w:rPr>
        <w:t>Studies </w:t>
      </w:r>
      <w:r>
        <w:rPr>
          <w:color w:val="131515"/>
          <w:sz w:val="18"/>
        </w:rPr>
        <w:t>Volume 10</w:t>
      </w:r>
      <w:r>
        <w:rPr>
          <w:color w:val="131515"/>
          <w:spacing w:val="77"/>
          <w:sz w:val="18"/>
        </w:rPr>
        <w:t> </w:t>
      </w:r>
      <w:r>
        <w:rPr>
          <w:color w:val="262626"/>
          <w:sz w:val="18"/>
        </w:rPr>
        <w:t>Number</w:t>
      </w:r>
      <w:r>
        <w:rPr>
          <w:color w:val="262626"/>
          <w:spacing w:val="2"/>
          <w:sz w:val="18"/>
        </w:rPr>
        <w:t> </w:t>
      </w:r>
      <w:r>
        <w:rPr>
          <w:color w:val="131515"/>
          <w:spacing w:val="-10"/>
          <w:sz w:val="18"/>
        </w:rPr>
        <w:t>1</w:t>
      </w:r>
    </w:p>
    <w:p>
      <w:pPr>
        <w:pStyle w:val="BodyText"/>
        <w:rPr>
          <w:sz w:val="18"/>
        </w:rPr>
      </w:pPr>
    </w:p>
    <w:p>
      <w:pPr>
        <w:pStyle w:val="BodyText"/>
        <w:spacing w:before="100"/>
        <w:rPr>
          <w:sz w:val="18"/>
        </w:rPr>
      </w:pPr>
    </w:p>
    <w:p>
      <w:pPr>
        <w:spacing w:line="244" w:lineRule="auto" w:before="0"/>
        <w:ind w:left="796" w:right="823" w:firstLine="0"/>
        <w:jc w:val="center"/>
        <w:rPr>
          <w:b/>
          <w:sz w:val="25"/>
        </w:rPr>
      </w:pPr>
      <w:r>
        <w:rPr>
          <w:b/>
          <w:color w:val="131515"/>
          <w:sz w:val="25"/>
        </w:rPr>
        <w:t>Impact of Training and Development on Employee Productivity</w:t>
      </w:r>
      <w:r>
        <w:rPr>
          <w:b/>
          <w:color w:val="131515"/>
          <w:spacing w:val="40"/>
          <w:sz w:val="25"/>
        </w:rPr>
        <w:t> </w:t>
      </w:r>
      <w:r>
        <w:rPr>
          <w:b/>
          <w:color w:val="131515"/>
          <w:sz w:val="25"/>
        </w:rPr>
        <w:t>in the Readymade</w:t>
      </w:r>
      <w:r>
        <w:rPr>
          <w:b/>
          <w:color w:val="131515"/>
          <w:spacing w:val="40"/>
          <w:sz w:val="25"/>
        </w:rPr>
        <w:t> </w:t>
      </w:r>
      <w:r>
        <w:rPr>
          <w:b/>
          <w:color w:val="131515"/>
          <w:sz w:val="25"/>
        </w:rPr>
        <w:t>Garments Industry</w:t>
      </w:r>
      <w:r>
        <w:rPr>
          <w:b/>
          <w:color w:val="131515"/>
          <w:spacing w:val="40"/>
          <w:sz w:val="25"/>
        </w:rPr>
        <w:t> </w:t>
      </w:r>
      <w:r>
        <w:rPr>
          <w:b/>
          <w:color w:val="131515"/>
          <w:sz w:val="25"/>
        </w:rPr>
        <w:t>of Bangladesh:</w:t>
      </w:r>
    </w:p>
    <w:p>
      <w:pPr>
        <w:spacing w:before="10"/>
        <w:ind w:left="801" w:right="823" w:firstLine="0"/>
        <w:jc w:val="center"/>
        <w:rPr>
          <w:b/>
          <w:sz w:val="25"/>
        </w:rPr>
      </w:pPr>
      <w:r>
        <w:rPr>
          <w:b/>
          <w:color w:val="131515"/>
          <w:w w:val="105"/>
          <w:sz w:val="25"/>
        </w:rPr>
        <w:t>The</w:t>
      </w:r>
      <w:r>
        <w:rPr>
          <w:b/>
          <w:color w:val="131515"/>
          <w:spacing w:val="-12"/>
          <w:w w:val="105"/>
          <w:sz w:val="25"/>
        </w:rPr>
        <w:t> </w:t>
      </w:r>
      <w:r>
        <w:rPr>
          <w:b/>
          <w:color w:val="131515"/>
          <w:w w:val="105"/>
          <w:sz w:val="25"/>
        </w:rPr>
        <w:t>Mediating</w:t>
      </w:r>
      <w:r>
        <w:rPr>
          <w:b/>
          <w:color w:val="131515"/>
          <w:spacing w:val="-5"/>
          <w:w w:val="105"/>
          <w:sz w:val="25"/>
        </w:rPr>
        <w:t> </w:t>
      </w:r>
      <w:r>
        <w:rPr>
          <w:b/>
          <w:color w:val="131515"/>
          <w:w w:val="105"/>
          <w:sz w:val="25"/>
        </w:rPr>
        <w:t>Role</w:t>
      </w:r>
      <w:r>
        <w:rPr>
          <w:b/>
          <w:color w:val="131515"/>
          <w:spacing w:val="-8"/>
          <w:w w:val="105"/>
          <w:sz w:val="25"/>
        </w:rPr>
        <w:t> </w:t>
      </w:r>
      <w:r>
        <w:rPr>
          <w:b/>
          <w:color w:val="131515"/>
          <w:w w:val="105"/>
          <w:sz w:val="25"/>
        </w:rPr>
        <w:t>of</w:t>
      </w:r>
      <w:r>
        <w:rPr>
          <w:b/>
          <w:color w:val="131515"/>
          <w:spacing w:val="-16"/>
          <w:w w:val="105"/>
          <w:sz w:val="25"/>
        </w:rPr>
        <w:t> </w:t>
      </w:r>
      <w:r>
        <w:rPr>
          <w:b/>
          <w:color w:val="131515"/>
          <w:w w:val="105"/>
          <w:sz w:val="25"/>
        </w:rPr>
        <w:t>Training</w:t>
      </w:r>
      <w:r>
        <w:rPr>
          <w:b/>
          <w:color w:val="131515"/>
          <w:spacing w:val="-4"/>
          <w:w w:val="105"/>
          <w:sz w:val="25"/>
        </w:rPr>
        <w:t> </w:t>
      </w:r>
      <w:r>
        <w:rPr>
          <w:b/>
          <w:color w:val="131515"/>
          <w:spacing w:val="-2"/>
          <w:w w:val="105"/>
          <w:sz w:val="25"/>
        </w:rPr>
        <w:t>Motivation</w:t>
      </w:r>
    </w:p>
    <w:p>
      <w:pPr>
        <w:pStyle w:val="BodyText"/>
        <w:spacing w:before="78"/>
        <w:rPr>
          <w:b/>
          <w:sz w:val="25"/>
        </w:rPr>
      </w:pPr>
    </w:p>
    <w:p>
      <w:pPr>
        <w:spacing w:before="0"/>
        <w:ind w:left="6657" w:right="0" w:firstLine="0"/>
        <w:jc w:val="left"/>
        <w:rPr>
          <w:sz w:val="22"/>
        </w:rPr>
      </w:pPr>
      <w:r>
        <w:rPr>
          <w:rFonts w:ascii="Arial"/>
          <w:color w:val="131515"/>
          <w:sz w:val="28"/>
        </w:rPr>
        <w:t>*</w:t>
      </w:r>
      <w:r>
        <w:rPr>
          <w:rFonts w:ascii="Arial"/>
          <w:color w:val="131515"/>
          <w:spacing w:val="-22"/>
          <w:sz w:val="28"/>
        </w:rPr>
        <w:t> </w:t>
      </w:r>
      <w:r>
        <w:rPr>
          <w:color w:val="131515"/>
          <w:sz w:val="22"/>
        </w:rPr>
        <w:t>Md</w:t>
      </w:r>
      <w:r>
        <w:rPr>
          <w:color w:val="131515"/>
          <w:spacing w:val="-9"/>
          <w:sz w:val="22"/>
        </w:rPr>
        <w:t> </w:t>
      </w:r>
      <w:r>
        <w:rPr>
          <w:color w:val="131515"/>
          <w:sz w:val="22"/>
        </w:rPr>
        <w:t>Mahbub</w:t>
      </w:r>
      <w:r>
        <w:rPr>
          <w:color w:val="131515"/>
          <w:spacing w:val="6"/>
          <w:sz w:val="22"/>
        </w:rPr>
        <w:t> </w:t>
      </w:r>
      <w:r>
        <w:rPr>
          <w:color w:val="131515"/>
          <w:spacing w:val="-4"/>
          <w:sz w:val="22"/>
        </w:rPr>
        <w:t>Alam</w:t>
      </w:r>
    </w:p>
    <w:p>
      <w:pPr>
        <w:pStyle w:val="BodyText"/>
        <w:spacing w:before="82"/>
        <w:rPr>
          <w:sz w:val="22"/>
        </w:rPr>
      </w:pPr>
    </w:p>
    <w:p>
      <w:pPr>
        <w:spacing w:line="288" w:lineRule="auto" w:before="0"/>
        <w:ind w:left="896" w:right="894" w:firstLine="8"/>
        <w:jc w:val="both"/>
        <w:rPr>
          <w:i/>
          <w:sz w:val="18"/>
        </w:rPr>
      </w:pPr>
      <w:r>
        <w:rPr>
          <w:b/>
          <w:color w:val="131515"/>
          <w:sz w:val="17"/>
        </w:rPr>
        <w:t>Abstract: </w:t>
      </w:r>
      <w:r>
        <w:rPr>
          <w:i/>
          <w:color w:val="131515"/>
          <w:sz w:val="18"/>
        </w:rPr>
        <w:t>This </w:t>
      </w:r>
      <w:r>
        <w:rPr>
          <w:i/>
          <w:color w:val="262626"/>
          <w:sz w:val="18"/>
        </w:rPr>
        <w:t>study </w:t>
      </w:r>
      <w:r>
        <w:rPr>
          <w:i/>
          <w:color w:val="131515"/>
          <w:sz w:val="18"/>
        </w:rPr>
        <w:t>aims to investigate the relationship between </w:t>
      </w:r>
      <w:r>
        <w:rPr>
          <w:i/>
          <w:color w:val="262626"/>
          <w:sz w:val="18"/>
        </w:rPr>
        <w:t>training </w:t>
      </w:r>
      <w:r>
        <w:rPr>
          <w:i/>
          <w:color w:val="131515"/>
          <w:sz w:val="18"/>
        </w:rPr>
        <w:t>and </w:t>
      </w:r>
      <w:r>
        <w:rPr>
          <w:i/>
          <w:color w:val="262626"/>
          <w:sz w:val="18"/>
        </w:rPr>
        <w:t>development</w:t>
      </w:r>
      <w:r>
        <w:rPr>
          <w:i/>
          <w:color w:val="262626"/>
          <w:sz w:val="18"/>
        </w:rPr>
        <w:t> </w:t>
      </w:r>
      <w:r>
        <w:rPr>
          <w:i/>
          <w:color w:val="131515"/>
          <w:sz w:val="18"/>
        </w:rPr>
        <w:t>initiatives and </w:t>
      </w:r>
      <w:r>
        <w:rPr>
          <w:i/>
          <w:color w:val="262626"/>
          <w:sz w:val="18"/>
        </w:rPr>
        <w:t>employee </w:t>
      </w:r>
      <w:r>
        <w:rPr>
          <w:i/>
          <w:color w:val="131515"/>
          <w:sz w:val="18"/>
        </w:rPr>
        <w:t>productivity </w:t>
      </w:r>
      <w:r>
        <w:rPr>
          <w:i/>
          <w:color w:val="262626"/>
          <w:sz w:val="18"/>
        </w:rPr>
        <w:t>within the context </w:t>
      </w:r>
      <w:r>
        <w:rPr>
          <w:i/>
          <w:color w:val="131515"/>
          <w:sz w:val="18"/>
        </w:rPr>
        <w:t>of the Bangladeshi readymade </w:t>
      </w:r>
      <w:r>
        <w:rPr>
          <w:i/>
          <w:color w:val="262626"/>
          <w:sz w:val="18"/>
        </w:rPr>
        <w:t>garments industry, with </w:t>
      </w:r>
      <w:r>
        <w:rPr>
          <w:i/>
          <w:color w:val="131515"/>
          <w:sz w:val="18"/>
        </w:rPr>
        <w:t>a </w:t>
      </w:r>
      <w:r>
        <w:rPr>
          <w:i/>
          <w:color w:val="262626"/>
          <w:sz w:val="18"/>
        </w:rPr>
        <w:t>specific focus on </w:t>
      </w:r>
      <w:r>
        <w:rPr>
          <w:i/>
          <w:color w:val="131515"/>
          <w:sz w:val="18"/>
        </w:rPr>
        <w:t>the mediating </w:t>
      </w:r>
      <w:r>
        <w:rPr>
          <w:i/>
          <w:color w:val="262626"/>
          <w:sz w:val="18"/>
        </w:rPr>
        <w:t>role of </w:t>
      </w:r>
      <w:r>
        <w:rPr>
          <w:i/>
          <w:color w:val="131515"/>
          <w:sz w:val="18"/>
        </w:rPr>
        <w:t>training motivation</w:t>
      </w:r>
      <w:r>
        <w:rPr>
          <w:i/>
          <w:color w:val="626464"/>
          <w:sz w:val="18"/>
        </w:rPr>
        <w:t>. </w:t>
      </w:r>
      <w:r>
        <w:rPr>
          <w:i/>
          <w:color w:val="262626"/>
          <w:sz w:val="18"/>
        </w:rPr>
        <w:t>A </w:t>
      </w:r>
      <w:r>
        <w:rPr>
          <w:i/>
          <w:color w:val="131515"/>
          <w:sz w:val="18"/>
        </w:rPr>
        <w:t>quantitative </w:t>
      </w:r>
      <w:r>
        <w:rPr>
          <w:i/>
          <w:color w:val="262626"/>
          <w:sz w:val="18"/>
        </w:rPr>
        <w:t>approach was adopted </w:t>
      </w:r>
      <w:r>
        <w:rPr>
          <w:i/>
          <w:color w:val="131515"/>
          <w:sz w:val="18"/>
        </w:rPr>
        <w:t>to </w:t>
      </w:r>
      <w:r>
        <w:rPr>
          <w:i/>
          <w:color w:val="262626"/>
          <w:sz w:val="18"/>
        </w:rPr>
        <w:t>collect and </w:t>
      </w:r>
      <w:r>
        <w:rPr>
          <w:i/>
          <w:color w:val="131515"/>
          <w:sz w:val="18"/>
        </w:rPr>
        <w:t>analyze data </w:t>
      </w:r>
      <w:r>
        <w:rPr>
          <w:i/>
          <w:color w:val="262626"/>
          <w:sz w:val="18"/>
        </w:rPr>
        <w:t>for this </w:t>
      </w:r>
      <w:r>
        <w:rPr>
          <w:i/>
          <w:color w:val="131515"/>
          <w:sz w:val="18"/>
        </w:rPr>
        <w:t>study. Quantitative</w:t>
      </w:r>
      <w:r>
        <w:rPr>
          <w:i/>
          <w:color w:val="131515"/>
          <w:spacing w:val="40"/>
          <w:sz w:val="18"/>
        </w:rPr>
        <w:t> </w:t>
      </w:r>
      <w:r>
        <w:rPr>
          <w:i/>
          <w:color w:val="262626"/>
          <w:sz w:val="18"/>
        </w:rPr>
        <w:t>data </w:t>
      </w:r>
      <w:r>
        <w:rPr>
          <w:i/>
          <w:color w:val="131515"/>
          <w:sz w:val="18"/>
        </w:rPr>
        <w:t>were </w:t>
      </w:r>
      <w:r>
        <w:rPr>
          <w:i/>
          <w:color w:val="262626"/>
          <w:sz w:val="18"/>
        </w:rPr>
        <w:t>gathered </w:t>
      </w:r>
      <w:r>
        <w:rPr>
          <w:i/>
          <w:color w:val="131515"/>
          <w:sz w:val="18"/>
        </w:rPr>
        <w:t>through </w:t>
      </w:r>
      <w:r>
        <w:rPr>
          <w:i/>
          <w:color w:val="262626"/>
          <w:sz w:val="18"/>
        </w:rPr>
        <w:t>structured </w:t>
      </w:r>
      <w:r>
        <w:rPr>
          <w:i/>
          <w:color w:val="131515"/>
          <w:sz w:val="18"/>
        </w:rPr>
        <w:t>questionnaires</w:t>
      </w:r>
      <w:r>
        <w:rPr>
          <w:i/>
          <w:color w:val="131515"/>
          <w:spacing w:val="-6"/>
          <w:sz w:val="18"/>
        </w:rPr>
        <w:t> </w:t>
      </w:r>
      <w:r>
        <w:rPr>
          <w:i/>
          <w:color w:val="262626"/>
          <w:sz w:val="18"/>
        </w:rPr>
        <w:t>distributed among employees working</w:t>
      </w:r>
      <w:r>
        <w:rPr>
          <w:i/>
          <w:color w:val="262626"/>
          <w:spacing w:val="40"/>
          <w:sz w:val="18"/>
        </w:rPr>
        <w:t> </w:t>
      </w:r>
      <w:r>
        <w:rPr>
          <w:i/>
          <w:color w:val="131515"/>
          <w:sz w:val="18"/>
        </w:rPr>
        <w:t>in </w:t>
      </w:r>
      <w:r>
        <w:rPr>
          <w:i/>
          <w:color w:val="262626"/>
          <w:sz w:val="18"/>
        </w:rPr>
        <w:t>various roles within </w:t>
      </w:r>
      <w:r>
        <w:rPr>
          <w:i/>
          <w:color w:val="131515"/>
          <w:sz w:val="18"/>
        </w:rPr>
        <w:t>readymade </w:t>
      </w:r>
      <w:r>
        <w:rPr>
          <w:i/>
          <w:color w:val="262626"/>
          <w:sz w:val="18"/>
        </w:rPr>
        <w:t>garments </w:t>
      </w:r>
      <w:r>
        <w:rPr>
          <w:i/>
          <w:color w:val="131515"/>
          <w:sz w:val="18"/>
        </w:rPr>
        <w:t>factories across Bangladesh. The questionnaire included measures</w:t>
      </w:r>
      <w:r>
        <w:rPr>
          <w:i/>
          <w:color w:val="131515"/>
          <w:spacing w:val="-2"/>
          <w:sz w:val="18"/>
        </w:rPr>
        <w:t> </w:t>
      </w:r>
      <w:r>
        <w:rPr>
          <w:i/>
          <w:color w:val="131515"/>
          <w:sz w:val="18"/>
        </w:rPr>
        <w:t>of</w:t>
      </w:r>
      <w:r>
        <w:rPr>
          <w:i/>
          <w:color w:val="131515"/>
          <w:spacing w:val="-7"/>
          <w:sz w:val="18"/>
        </w:rPr>
        <w:t> </w:t>
      </w:r>
      <w:r>
        <w:rPr>
          <w:i/>
          <w:color w:val="131515"/>
          <w:sz w:val="18"/>
        </w:rPr>
        <w:t>training</w:t>
      </w:r>
      <w:r>
        <w:rPr>
          <w:i/>
          <w:color w:val="131515"/>
          <w:spacing w:val="-1"/>
          <w:sz w:val="18"/>
        </w:rPr>
        <w:t> </w:t>
      </w:r>
      <w:r>
        <w:rPr>
          <w:i/>
          <w:color w:val="131515"/>
          <w:sz w:val="18"/>
        </w:rPr>
        <w:t>and</w:t>
      </w:r>
      <w:r>
        <w:rPr>
          <w:i/>
          <w:color w:val="131515"/>
          <w:spacing w:val="-1"/>
          <w:sz w:val="18"/>
        </w:rPr>
        <w:t> </w:t>
      </w:r>
      <w:r>
        <w:rPr>
          <w:i/>
          <w:color w:val="131515"/>
          <w:sz w:val="18"/>
        </w:rPr>
        <w:t>development </w:t>
      </w:r>
      <w:r>
        <w:rPr>
          <w:i/>
          <w:color w:val="262626"/>
          <w:sz w:val="18"/>
        </w:rPr>
        <w:t>practices,</w:t>
      </w:r>
      <w:r>
        <w:rPr>
          <w:i/>
          <w:color w:val="262626"/>
          <w:spacing w:val="-1"/>
          <w:sz w:val="18"/>
        </w:rPr>
        <w:t> </w:t>
      </w:r>
      <w:r>
        <w:rPr>
          <w:i/>
          <w:color w:val="262626"/>
          <w:sz w:val="18"/>
        </w:rPr>
        <w:t>employee productivity,</w:t>
      </w:r>
      <w:r>
        <w:rPr>
          <w:i/>
          <w:color w:val="262626"/>
          <w:spacing w:val="-1"/>
          <w:sz w:val="18"/>
        </w:rPr>
        <w:t> </w:t>
      </w:r>
      <w:r>
        <w:rPr>
          <w:i/>
          <w:color w:val="131515"/>
          <w:sz w:val="18"/>
        </w:rPr>
        <w:t>and</w:t>
      </w:r>
      <w:r>
        <w:rPr>
          <w:i/>
          <w:color w:val="131515"/>
          <w:spacing w:val="-4"/>
          <w:sz w:val="18"/>
        </w:rPr>
        <w:t> </w:t>
      </w:r>
      <w:r>
        <w:rPr>
          <w:i/>
          <w:color w:val="262626"/>
          <w:sz w:val="18"/>
        </w:rPr>
        <w:t>training </w:t>
      </w:r>
      <w:r>
        <w:rPr>
          <w:i/>
          <w:color w:val="131515"/>
          <w:sz w:val="18"/>
        </w:rPr>
        <w:t>motivation. Data were </w:t>
      </w:r>
      <w:r>
        <w:rPr>
          <w:i/>
          <w:color w:val="262626"/>
          <w:sz w:val="18"/>
        </w:rPr>
        <w:t>collected from </w:t>
      </w:r>
      <w:r>
        <w:rPr>
          <w:i/>
          <w:color w:val="131515"/>
          <w:sz w:val="18"/>
        </w:rPr>
        <w:t>400 respondents </w:t>
      </w:r>
      <w:r>
        <w:rPr>
          <w:i/>
          <w:color w:val="262626"/>
          <w:sz w:val="18"/>
        </w:rPr>
        <w:t>through stratified </w:t>
      </w:r>
      <w:r>
        <w:rPr>
          <w:i/>
          <w:color w:val="131515"/>
          <w:sz w:val="18"/>
        </w:rPr>
        <w:t>random </w:t>
      </w:r>
      <w:r>
        <w:rPr>
          <w:i/>
          <w:color w:val="262626"/>
          <w:sz w:val="18"/>
        </w:rPr>
        <w:t>sampling. </w:t>
      </w:r>
      <w:r>
        <w:rPr>
          <w:i/>
          <w:color w:val="131515"/>
          <w:sz w:val="18"/>
        </w:rPr>
        <w:t>Were</w:t>
      </w:r>
      <w:r>
        <w:rPr>
          <w:i/>
          <w:color w:val="131515"/>
          <w:spacing w:val="-1"/>
          <w:sz w:val="18"/>
        </w:rPr>
        <w:t> </w:t>
      </w:r>
      <w:r>
        <w:rPr>
          <w:i/>
          <w:color w:val="262626"/>
          <w:sz w:val="18"/>
        </w:rPr>
        <w:t>collected </w:t>
      </w:r>
      <w:r>
        <w:rPr>
          <w:i/>
          <w:color w:val="131515"/>
          <w:sz w:val="18"/>
        </w:rPr>
        <w:t>data </w:t>
      </w:r>
      <w:r>
        <w:rPr>
          <w:i/>
          <w:color w:val="262626"/>
          <w:sz w:val="18"/>
        </w:rPr>
        <w:t>was</w:t>
      </w:r>
      <w:r>
        <w:rPr>
          <w:i/>
          <w:color w:val="262626"/>
          <w:spacing w:val="-3"/>
          <w:sz w:val="18"/>
        </w:rPr>
        <w:t> </w:t>
      </w:r>
      <w:r>
        <w:rPr>
          <w:i/>
          <w:color w:val="262626"/>
          <w:sz w:val="18"/>
        </w:rPr>
        <w:t>analyzed through </w:t>
      </w:r>
      <w:r>
        <w:rPr>
          <w:i/>
          <w:color w:val="131515"/>
          <w:sz w:val="18"/>
        </w:rPr>
        <w:t>SPSS </w:t>
      </w:r>
      <w:r>
        <w:rPr>
          <w:i/>
          <w:color w:val="262626"/>
          <w:sz w:val="18"/>
        </w:rPr>
        <w:t>23</w:t>
      </w:r>
      <w:r>
        <w:rPr>
          <w:i/>
          <w:color w:val="262626"/>
          <w:spacing w:val="-4"/>
          <w:sz w:val="18"/>
        </w:rPr>
        <w:t> </w:t>
      </w:r>
      <w:r>
        <w:rPr>
          <w:i/>
          <w:color w:val="131515"/>
          <w:sz w:val="18"/>
        </w:rPr>
        <w:t>and Smart PLS 4.</w:t>
      </w:r>
      <w:r>
        <w:rPr>
          <w:i/>
          <w:color w:val="131515"/>
          <w:spacing w:val="-7"/>
          <w:sz w:val="18"/>
        </w:rPr>
        <w:t> </w:t>
      </w:r>
      <w:r>
        <w:rPr>
          <w:i/>
          <w:color w:val="262626"/>
          <w:sz w:val="18"/>
        </w:rPr>
        <w:t>The</w:t>
      </w:r>
      <w:r>
        <w:rPr>
          <w:i/>
          <w:color w:val="262626"/>
          <w:spacing w:val="-3"/>
          <w:sz w:val="18"/>
        </w:rPr>
        <w:t> </w:t>
      </w:r>
      <w:r>
        <w:rPr>
          <w:i/>
          <w:color w:val="131515"/>
          <w:sz w:val="18"/>
        </w:rPr>
        <w:t>analysis </w:t>
      </w:r>
      <w:r>
        <w:rPr>
          <w:i/>
          <w:color w:val="262626"/>
          <w:sz w:val="18"/>
        </w:rPr>
        <w:t>revealed </w:t>
      </w:r>
      <w:r>
        <w:rPr>
          <w:i/>
          <w:color w:val="131515"/>
          <w:sz w:val="18"/>
        </w:rPr>
        <w:t>a </w:t>
      </w:r>
      <w:r>
        <w:rPr>
          <w:i/>
          <w:color w:val="262626"/>
          <w:sz w:val="18"/>
        </w:rPr>
        <w:t>significant </w:t>
      </w:r>
      <w:r>
        <w:rPr>
          <w:i/>
          <w:color w:val="131515"/>
          <w:sz w:val="18"/>
        </w:rPr>
        <w:t>positive </w:t>
      </w:r>
      <w:r>
        <w:rPr>
          <w:i/>
          <w:color w:val="262626"/>
          <w:sz w:val="18"/>
        </w:rPr>
        <w:t>correlation </w:t>
      </w:r>
      <w:r>
        <w:rPr>
          <w:i/>
          <w:color w:val="131515"/>
          <w:sz w:val="18"/>
        </w:rPr>
        <w:t>between </w:t>
      </w:r>
      <w:r>
        <w:rPr>
          <w:i/>
          <w:color w:val="262626"/>
          <w:sz w:val="18"/>
        </w:rPr>
        <w:t>training </w:t>
      </w:r>
      <w:r>
        <w:rPr>
          <w:i/>
          <w:color w:val="131515"/>
          <w:sz w:val="18"/>
        </w:rPr>
        <w:t>and development initiatives and </w:t>
      </w:r>
      <w:r>
        <w:rPr>
          <w:i/>
          <w:color w:val="262626"/>
          <w:sz w:val="18"/>
        </w:rPr>
        <w:t>employee </w:t>
      </w:r>
      <w:r>
        <w:rPr>
          <w:i/>
          <w:color w:val="131515"/>
          <w:sz w:val="18"/>
        </w:rPr>
        <w:t>productivity in the </w:t>
      </w:r>
      <w:r>
        <w:rPr>
          <w:i/>
          <w:color w:val="262626"/>
          <w:sz w:val="18"/>
        </w:rPr>
        <w:t>readymade garments industry of </w:t>
      </w:r>
      <w:r>
        <w:rPr>
          <w:i/>
          <w:color w:val="131515"/>
          <w:sz w:val="18"/>
        </w:rPr>
        <w:t>Bangladesh. </w:t>
      </w:r>
      <w:r>
        <w:rPr>
          <w:i/>
          <w:color w:val="262626"/>
          <w:sz w:val="18"/>
        </w:rPr>
        <w:t>Furthermore</w:t>
      </w:r>
      <w:r>
        <w:rPr>
          <w:i/>
          <w:color w:val="414242"/>
          <w:sz w:val="18"/>
        </w:rPr>
        <w:t>, </w:t>
      </w:r>
      <w:r>
        <w:rPr>
          <w:i/>
          <w:color w:val="131515"/>
          <w:sz w:val="18"/>
        </w:rPr>
        <w:t>training </w:t>
      </w:r>
      <w:r>
        <w:rPr>
          <w:i/>
          <w:color w:val="262626"/>
          <w:sz w:val="18"/>
        </w:rPr>
        <w:t>motivation emerged as a </w:t>
      </w:r>
      <w:r>
        <w:rPr>
          <w:i/>
          <w:color w:val="131515"/>
          <w:sz w:val="18"/>
        </w:rPr>
        <w:t>key mediating </w:t>
      </w:r>
      <w:r>
        <w:rPr>
          <w:i/>
          <w:color w:val="262626"/>
          <w:sz w:val="18"/>
        </w:rPr>
        <w:t>factor in </w:t>
      </w:r>
      <w:r>
        <w:rPr>
          <w:i/>
          <w:color w:val="131515"/>
          <w:sz w:val="18"/>
        </w:rPr>
        <w:t>this </w:t>
      </w:r>
      <w:r>
        <w:rPr>
          <w:i/>
          <w:color w:val="262626"/>
          <w:sz w:val="18"/>
        </w:rPr>
        <w:t>relationship. Employees who exhibited </w:t>
      </w:r>
      <w:r>
        <w:rPr>
          <w:i/>
          <w:color w:val="131515"/>
          <w:sz w:val="18"/>
        </w:rPr>
        <w:t>higher levels </w:t>
      </w:r>
      <w:r>
        <w:rPr>
          <w:i/>
          <w:color w:val="262626"/>
          <w:sz w:val="18"/>
        </w:rPr>
        <w:t>of </w:t>
      </w:r>
      <w:r>
        <w:rPr>
          <w:i/>
          <w:color w:val="131515"/>
          <w:sz w:val="18"/>
        </w:rPr>
        <w:t>motivation towards training </w:t>
      </w:r>
      <w:r>
        <w:rPr>
          <w:i/>
          <w:color w:val="262626"/>
          <w:sz w:val="18"/>
        </w:rPr>
        <w:t>activities demonstrated </w:t>
      </w:r>
      <w:r>
        <w:rPr>
          <w:i/>
          <w:color w:val="131515"/>
          <w:sz w:val="18"/>
        </w:rPr>
        <w:t>increased </w:t>
      </w:r>
      <w:r>
        <w:rPr>
          <w:i/>
          <w:color w:val="262626"/>
          <w:sz w:val="18"/>
        </w:rPr>
        <w:t>engagement, </w:t>
      </w:r>
      <w:r>
        <w:rPr>
          <w:i/>
          <w:color w:val="131515"/>
          <w:sz w:val="18"/>
        </w:rPr>
        <w:t>knowledge acquisition</w:t>
      </w:r>
      <w:r>
        <w:rPr>
          <w:i/>
          <w:color w:val="414242"/>
          <w:sz w:val="18"/>
        </w:rPr>
        <w:t>, </w:t>
      </w:r>
      <w:r>
        <w:rPr>
          <w:i/>
          <w:color w:val="262626"/>
          <w:sz w:val="18"/>
        </w:rPr>
        <w:t>and skill enhancement</w:t>
      </w:r>
      <w:r>
        <w:rPr>
          <w:i/>
          <w:color w:val="414242"/>
          <w:sz w:val="18"/>
        </w:rPr>
        <w:t>, </w:t>
      </w:r>
      <w:r>
        <w:rPr>
          <w:i/>
          <w:color w:val="262626"/>
          <w:sz w:val="18"/>
        </w:rPr>
        <w:t>ultimately </w:t>
      </w:r>
      <w:r>
        <w:rPr>
          <w:i/>
          <w:color w:val="131515"/>
          <w:sz w:val="18"/>
        </w:rPr>
        <w:t>leading to </w:t>
      </w:r>
      <w:r>
        <w:rPr>
          <w:i/>
          <w:color w:val="262626"/>
          <w:sz w:val="18"/>
        </w:rPr>
        <w:t>enhance </w:t>
      </w:r>
      <w:r>
        <w:rPr>
          <w:i/>
          <w:color w:val="131515"/>
          <w:sz w:val="18"/>
        </w:rPr>
        <w:t>productivity levels. The qualitative </w:t>
      </w:r>
      <w:r>
        <w:rPr>
          <w:i/>
          <w:color w:val="262626"/>
          <w:sz w:val="18"/>
        </w:rPr>
        <w:t>findings </w:t>
      </w:r>
      <w:r>
        <w:rPr>
          <w:i/>
          <w:color w:val="131515"/>
          <w:sz w:val="18"/>
        </w:rPr>
        <w:t>corroborated these quantitative results, providing </w:t>
      </w:r>
      <w:r>
        <w:rPr>
          <w:i/>
          <w:color w:val="262626"/>
          <w:sz w:val="18"/>
        </w:rPr>
        <w:t>nuanced </w:t>
      </w:r>
      <w:r>
        <w:rPr>
          <w:i/>
          <w:color w:val="131515"/>
          <w:sz w:val="18"/>
        </w:rPr>
        <w:t>insights into </w:t>
      </w:r>
      <w:r>
        <w:rPr>
          <w:i/>
          <w:color w:val="262626"/>
          <w:sz w:val="18"/>
        </w:rPr>
        <w:t>the specific </w:t>
      </w:r>
      <w:r>
        <w:rPr>
          <w:i/>
          <w:color w:val="131515"/>
          <w:sz w:val="18"/>
        </w:rPr>
        <w:t>training practices </w:t>
      </w:r>
      <w:r>
        <w:rPr>
          <w:i/>
          <w:color w:val="262626"/>
          <w:sz w:val="18"/>
        </w:rPr>
        <w:t>and </w:t>
      </w:r>
      <w:r>
        <w:rPr>
          <w:i/>
          <w:color w:val="131515"/>
          <w:sz w:val="18"/>
        </w:rPr>
        <w:t>motivational </w:t>
      </w:r>
      <w:r>
        <w:rPr>
          <w:i/>
          <w:color w:val="262626"/>
          <w:sz w:val="18"/>
        </w:rPr>
        <w:t>factors </w:t>
      </w:r>
      <w:r>
        <w:rPr>
          <w:i/>
          <w:color w:val="131515"/>
          <w:sz w:val="18"/>
        </w:rPr>
        <w:t>that influence </w:t>
      </w:r>
      <w:r>
        <w:rPr>
          <w:i/>
          <w:color w:val="262626"/>
          <w:sz w:val="18"/>
        </w:rPr>
        <w:t>employee </w:t>
      </w:r>
      <w:r>
        <w:rPr>
          <w:i/>
          <w:color w:val="131515"/>
          <w:sz w:val="18"/>
        </w:rPr>
        <w:t>productivity in this industry</w:t>
      </w:r>
      <w:r>
        <w:rPr>
          <w:i/>
          <w:color w:val="414242"/>
          <w:sz w:val="18"/>
        </w:rPr>
        <w:t>. </w:t>
      </w:r>
      <w:r>
        <w:rPr>
          <w:i/>
          <w:color w:val="262626"/>
          <w:sz w:val="18"/>
        </w:rPr>
        <w:t>This study contributes to </w:t>
      </w:r>
      <w:r>
        <w:rPr>
          <w:i/>
          <w:color w:val="131515"/>
          <w:sz w:val="18"/>
        </w:rPr>
        <w:t>the </w:t>
      </w:r>
      <w:r>
        <w:rPr>
          <w:i/>
          <w:color w:val="262626"/>
          <w:sz w:val="18"/>
        </w:rPr>
        <w:t>existing </w:t>
      </w:r>
      <w:r>
        <w:rPr>
          <w:i/>
          <w:color w:val="131515"/>
          <w:sz w:val="18"/>
        </w:rPr>
        <w:t>literature by providing </w:t>
      </w:r>
      <w:r>
        <w:rPr>
          <w:i/>
          <w:color w:val="262626"/>
          <w:sz w:val="18"/>
        </w:rPr>
        <w:t>empirical evidence of </w:t>
      </w:r>
      <w:r>
        <w:rPr>
          <w:i/>
          <w:color w:val="131515"/>
          <w:sz w:val="18"/>
        </w:rPr>
        <w:t>the relationship </w:t>
      </w:r>
      <w:r>
        <w:rPr>
          <w:i/>
          <w:color w:val="262626"/>
          <w:sz w:val="18"/>
        </w:rPr>
        <w:t>between </w:t>
      </w:r>
      <w:r>
        <w:rPr>
          <w:i/>
          <w:color w:val="131515"/>
          <w:sz w:val="18"/>
        </w:rPr>
        <w:t>training </w:t>
      </w:r>
      <w:r>
        <w:rPr>
          <w:i/>
          <w:color w:val="262626"/>
          <w:sz w:val="18"/>
        </w:rPr>
        <w:t>and development, employee </w:t>
      </w:r>
      <w:r>
        <w:rPr>
          <w:i/>
          <w:color w:val="131515"/>
          <w:sz w:val="18"/>
        </w:rPr>
        <w:t>productivity, and training motivation </w:t>
      </w:r>
      <w:r>
        <w:rPr>
          <w:i/>
          <w:color w:val="262626"/>
          <w:sz w:val="18"/>
        </w:rPr>
        <w:t>within </w:t>
      </w:r>
      <w:r>
        <w:rPr>
          <w:i/>
          <w:color w:val="131515"/>
          <w:sz w:val="18"/>
        </w:rPr>
        <w:t>the </w:t>
      </w:r>
      <w:r>
        <w:rPr>
          <w:i/>
          <w:color w:val="262626"/>
          <w:sz w:val="18"/>
        </w:rPr>
        <w:t>context of </w:t>
      </w:r>
      <w:r>
        <w:rPr>
          <w:i/>
          <w:color w:val="131515"/>
          <w:sz w:val="18"/>
        </w:rPr>
        <w:t>the Bangladeshi readymade </w:t>
      </w:r>
      <w:r>
        <w:rPr>
          <w:i/>
          <w:color w:val="262626"/>
          <w:sz w:val="18"/>
        </w:rPr>
        <w:t>garments industry. </w:t>
      </w:r>
      <w:r>
        <w:rPr>
          <w:i/>
          <w:color w:val="131515"/>
          <w:sz w:val="18"/>
        </w:rPr>
        <w:t>These </w:t>
      </w:r>
      <w:r>
        <w:rPr>
          <w:i/>
          <w:color w:val="262626"/>
          <w:sz w:val="18"/>
        </w:rPr>
        <w:t>findings </w:t>
      </w:r>
      <w:r>
        <w:rPr>
          <w:i/>
          <w:color w:val="131515"/>
          <w:sz w:val="18"/>
        </w:rPr>
        <w:t>have practical implications </w:t>
      </w:r>
      <w:r>
        <w:rPr>
          <w:i/>
          <w:color w:val="262626"/>
          <w:sz w:val="18"/>
        </w:rPr>
        <w:t>for </w:t>
      </w:r>
      <w:r>
        <w:rPr>
          <w:i/>
          <w:color w:val="131515"/>
          <w:sz w:val="18"/>
        </w:rPr>
        <w:t>the RMG </w:t>
      </w:r>
      <w:r>
        <w:rPr>
          <w:i/>
          <w:color w:val="262626"/>
          <w:sz w:val="18"/>
        </w:rPr>
        <w:t>sector, </w:t>
      </w:r>
      <w:r>
        <w:rPr>
          <w:i/>
          <w:color w:val="131515"/>
          <w:sz w:val="18"/>
        </w:rPr>
        <w:t>offering insights into strategies </w:t>
      </w:r>
      <w:r>
        <w:rPr>
          <w:i/>
          <w:color w:val="262626"/>
          <w:sz w:val="18"/>
        </w:rPr>
        <w:t>for </w:t>
      </w:r>
      <w:r>
        <w:rPr>
          <w:i/>
          <w:color w:val="131515"/>
          <w:sz w:val="18"/>
        </w:rPr>
        <w:t>improving </w:t>
      </w:r>
      <w:r>
        <w:rPr>
          <w:i/>
          <w:color w:val="262626"/>
          <w:sz w:val="18"/>
        </w:rPr>
        <w:t>workforce </w:t>
      </w:r>
      <w:r>
        <w:rPr>
          <w:i/>
          <w:color w:val="131515"/>
          <w:sz w:val="18"/>
        </w:rPr>
        <w:t>productivity </w:t>
      </w:r>
      <w:r>
        <w:rPr>
          <w:i/>
          <w:color w:val="262626"/>
          <w:sz w:val="18"/>
        </w:rPr>
        <w:t>through targeted </w:t>
      </w:r>
      <w:r>
        <w:rPr>
          <w:i/>
          <w:color w:val="131515"/>
          <w:sz w:val="18"/>
        </w:rPr>
        <w:t>training and </w:t>
      </w:r>
      <w:r>
        <w:rPr>
          <w:i/>
          <w:color w:val="262626"/>
          <w:sz w:val="18"/>
        </w:rPr>
        <w:t>motivational initiatives.</w:t>
      </w:r>
    </w:p>
    <w:p>
      <w:pPr>
        <w:spacing w:line="290" w:lineRule="auto" w:before="96"/>
        <w:ind w:left="891" w:right="910" w:firstLine="15"/>
        <w:jc w:val="both"/>
        <w:rPr>
          <w:i/>
          <w:sz w:val="18"/>
        </w:rPr>
      </w:pPr>
      <w:r>
        <w:rPr>
          <w:b/>
          <w:color w:val="131515"/>
          <w:sz w:val="17"/>
        </w:rPr>
        <w:t>Keywords: </w:t>
      </w:r>
      <w:r>
        <w:rPr>
          <w:i/>
          <w:color w:val="131515"/>
          <w:sz w:val="18"/>
        </w:rPr>
        <w:t>Training and Development, </w:t>
      </w:r>
      <w:r>
        <w:rPr>
          <w:i/>
          <w:color w:val="262626"/>
          <w:sz w:val="18"/>
        </w:rPr>
        <w:t>Employee </w:t>
      </w:r>
      <w:r>
        <w:rPr>
          <w:i/>
          <w:color w:val="131515"/>
          <w:sz w:val="18"/>
        </w:rPr>
        <w:t>Productivity, RMG Industry, Training</w:t>
      </w:r>
      <w:r>
        <w:rPr>
          <w:i/>
          <w:color w:val="131515"/>
          <w:sz w:val="18"/>
        </w:rPr>
        <w:t> Motivation, HRM </w:t>
      </w:r>
      <w:r>
        <w:rPr>
          <w:i/>
          <w:color w:val="262626"/>
          <w:sz w:val="18"/>
        </w:rPr>
        <w:t>and </w:t>
      </w:r>
      <w:r>
        <w:rPr>
          <w:i/>
          <w:color w:val="131515"/>
          <w:sz w:val="18"/>
        </w:rPr>
        <w:t>Skill </w:t>
      </w:r>
      <w:r>
        <w:rPr>
          <w:i/>
          <w:color w:val="262626"/>
          <w:sz w:val="18"/>
        </w:rPr>
        <w:t>Enhancement</w:t>
      </w:r>
    </w:p>
    <w:p>
      <w:pPr>
        <w:pStyle w:val="BodyText"/>
        <w:rPr>
          <w:i/>
          <w:sz w:val="18"/>
        </w:rPr>
      </w:pPr>
    </w:p>
    <w:p>
      <w:pPr>
        <w:pStyle w:val="BodyText"/>
        <w:spacing w:before="42"/>
        <w:rPr>
          <w:i/>
          <w:sz w:val="18"/>
        </w:rPr>
      </w:pPr>
    </w:p>
    <w:p>
      <w:pPr>
        <w:pStyle w:val="ListParagraph"/>
        <w:numPr>
          <w:ilvl w:val="0"/>
          <w:numId w:val="1"/>
        </w:numPr>
        <w:tabs>
          <w:tab w:pos="401" w:val="left" w:leader="none"/>
        </w:tabs>
        <w:spacing w:line="240" w:lineRule="auto" w:before="1" w:after="0"/>
        <w:ind w:left="401" w:right="0" w:hanging="216"/>
        <w:jc w:val="left"/>
        <w:rPr>
          <w:b/>
          <w:color w:val="131515"/>
          <w:sz w:val="21"/>
        </w:rPr>
      </w:pPr>
      <w:r>
        <w:rPr>
          <w:b/>
          <w:color w:val="131515"/>
          <w:spacing w:val="-2"/>
          <w:w w:val="105"/>
          <w:sz w:val="21"/>
        </w:rPr>
        <w:t>Introduction</w:t>
      </w:r>
    </w:p>
    <w:p>
      <w:pPr>
        <w:spacing w:line="273" w:lineRule="auto" w:before="148"/>
        <w:ind w:left="181" w:right="180" w:hanging="2"/>
        <w:jc w:val="both"/>
        <w:rPr>
          <w:sz w:val="22"/>
        </w:rPr>
      </w:pPr>
      <w:r>
        <w:rPr>
          <w:color w:val="131515"/>
          <w:sz w:val="22"/>
        </w:rPr>
        <w:t>In the dynamic</w:t>
      </w:r>
      <w:r>
        <w:rPr>
          <w:color w:val="131515"/>
          <w:spacing w:val="34"/>
          <w:sz w:val="22"/>
        </w:rPr>
        <w:t> </w:t>
      </w:r>
      <w:r>
        <w:rPr>
          <w:color w:val="131515"/>
          <w:sz w:val="22"/>
        </w:rPr>
        <w:t>landscape of the global economy, the Readymade</w:t>
      </w:r>
      <w:r>
        <w:rPr>
          <w:color w:val="131515"/>
          <w:spacing w:val="38"/>
          <w:sz w:val="22"/>
        </w:rPr>
        <w:t> </w:t>
      </w:r>
      <w:r>
        <w:rPr>
          <w:color w:val="131515"/>
          <w:sz w:val="22"/>
        </w:rPr>
        <w:t>Garments (RMG) sector has been contributing </w:t>
      </w:r>
      <w:r>
        <w:rPr>
          <w:color w:val="262626"/>
          <w:sz w:val="22"/>
        </w:rPr>
        <w:t>significantly </w:t>
      </w:r>
      <w:r>
        <w:rPr>
          <w:color w:val="131515"/>
          <w:sz w:val="22"/>
        </w:rPr>
        <w:t>in the socio-economic development of the Bangladesh economy. As well as this RMG sector has already been positioned a vital cornerstone of Bangladesh's</w:t>
      </w:r>
      <w:r>
        <w:rPr>
          <w:color w:val="131515"/>
          <w:spacing w:val="67"/>
          <w:sz w:val="22"/>
        </w:rPr>
        <w:t> </w:t>
      </w:r>
      <w:r>
        <w:rPr>
          <w:color w:val="131515"/>
          <w:sz w:val="22"/>
        </w:rPr>
        <w:t>industrial</w:t>
      </w:r>
      <w:r>
        <w:rPr>
          <w:color w:val="131515"/>
          <w:spacing w:val="40"/>
          <w:sz w:val="22"/>
        </w:rPr>
        <w:t> </w:t>
      </w:r>
      <w:r>
        <w:rPr>
          <w:color w:val="131515"/>
          <w:sz w:val="22"/>
        </w:rPr>
        <w:t>framework.</w:t>
      </w:r>
      <w:r>
        <w:rPr>
          <w:color w:val="131515"/>
          <w:spacing w:val="40"/>
          <w:sz w:val="22"/>
        </w:rPr>
        <w:t> </w:t>
      </w:r>
      <w:r>
        <w:rPr>
          <w:color w:val="131515"/>
          <w:sz w:val="22"/>
        </w:rPr>
        <w:t>With</w:t>
      </w:r>
      <w:r>
        <w:rPr>
          <w:color w:val="131515"/>
          <w:spacing w:val="40"/>
          <w:sz w:val="22"/>
        </w:rPr>
        <w:t> </w:t>
      </w:r>
      <w:r>
        <w:rPr>
          <w:color w:val="131515"/>
          <w:sz w:val="22"/>
        </w:rPr>
        <w:t>its</w:t>
      </w:r>
      <w:r>
        <w:rPr>
          <w:color w:val="131515"/>
          <w:spacing w:val="40"/>
          <w:sz w:val="22"/>
        </w:rPr>
        <w:t> </w:t>
      </w:r>
      <w:r>
        <w:rPr>
          <w:color w:val="131515"/>
          <w:sz w:val="22"/>
        </w:rPr>
        <w:t>pivotal</w:t>
      </w:r>
      <w:r>
        <w:rPr>
          <w:color w:val="131515"/>
          <w:spacing w:val="40"/>
          <w:sz w:val="22"/>
        </w:rPr>
        <w:t> </w:t>
      </w:r>
      <w:r>
        <w:rPr>
          <w:color w:val="131515"/>
          <w:sz w:val="22"/>
        </w:rPr>
        <w:t>role</w:t>
      </w:r>
      <w:r>
        <w:rPr>
          <w:color w:val="131515"/>
          <w:spacing w:val="40"/>
          <w:sz w:val="22"/>
        </w:rPr>
        <w:t> </w:t>
      </w:r>
      <w:r>
        <w:rPr>
          <w:color w:val="131515"/>
          <w:sz w:val="22"/>
        </w:rPr>
        <w:t>in</w:t>
      </w:r>
      <w:r>
        <w:rPr>
          <w:color w:val="131515"/>
          <w:spacing w:val="40"/>
          <w:sz w:val="22"/>
        </w:rPr>
        <w:t> </w:t>
      </w:r>
      <w:r>
        <w:rPr>
          <w:color w:val="131515"/>
          <w:sz w:val="22"/>
        </w:rPr>
        <w:t>generating</w:t>
      </w:r>
      <w:r>
        <w:rPr>
          <w:color w:val="131515"/>
          <w:spacing w:val="62"/>
          <w:sz w:val="22"/>
        </w:rPr>
        <w:t> </w:t>
      </w:r>
      <w:r>
        <w:rPr>
          <w:color w:val="131515"/>
          <w:sz w:val="22"/>
        </w:rPr>
        <w:t>employment</w:t>
      </w:r>
      <w:r>
        <w:rPr>
          <w:color w:val="131515"/>
          <w:spacing w:val="40"/>
          <w:sz w:val="22"/>
        </w:rPr>
        <w:t> </w:t>
      </w:r>
      <w:r>
        <w:rPr>
          <w:color w:val="131515"/>
          <w:sz w:val="22"/>
        </w:rPr>
        <w:t>and</w:t>
      </w:r>
    </w:p>
    <w:p>
      <w:pPr>
        <w:pStyle w:val="BodyText"/>
        <w:spacing w:before="177"/>
        <w:rPr>
          <w:sz w:val="22"/>
        </w:rPr>
      </w:pPr>
    </w:p>
    <w:p>
      <w:pPr>
        <w:spacing w:before="0"/>
        <w:ind w:left="184" w:right="0" w:firstLine="0"/>
        <w:jc w:val="both"/>
        <w:rPr>
          <w:sz w:val="15"/>
        </w:rPr>
      </w:pPr>
      <w:r>
        <w:rPr>
          <w:color w:val="262626"/>
          <w:w w:val="105"/>
          <w:sz w:val="15"/>
        </w:rPr>
        <w:t>*</w:t>
      </w:r>
      <w:r>
        <w:rPr>
          <w:color w:val="262626"/>
          <w:spacing w:val="-1"/>
          <w:w w:val="105"/>
          <w:sz w:val="15"/>
        </w:rPr>
        <w:t> </w:t>
      </w:r>
      <w:r>
        <w:rPr>
          <w:color w:val="262626"/>
          <w:w w:val="105"/>
          <w:sz w:val="15"/>
        </w:rPr>
        <w:t>Associate</w:t>
      </w:r>
      <w:r>
        <w:rPr>
          <w:color w:val="262626"/>
          <w:spacing w:val="9"/>
          <w:w w:val="105"/>
          <w:sz w:val="15"/>
        </w:rPr>
        <w:t> </w:t>
      </w:r>
      <w:r>
        <w:rPr>
          <w:color w:val="131515"/>
          <w:w w:val="105"/>
          <w:sz w:val="15"/>
        </w:rPr>
        <w:t>Professor,</w:t>
      </w:r>
      <w:r>
        <w:rPr>
          <w:color w:val="131515"/>
          <w:spacing w:val="5"/>
          <w:w w:val="105"/>
          <w:sz w:val="15"/>
        </w:rPr>
        <w:t> </w:t>
      </w:r>
      <w:r>
        <w:rPr>
          <w:color w:val="131515"/>
          <w:w w:val="105"/>
          <w:sz w:val="15"/>
        </w:rPr>
        <w:t>Department</w:t>
      </w:r>
      <w:r>
        <w:rPr>
          <w:color w:val="131515"/>
          <w:spacing w:val="6"/>
          <w:w w:val="105"/>
          <w:sz w:val="15"/>
        </w:rPr>
        <w:t> </w:t>
      </w:r>
      <w:r>
        <w:rPr>
          <w:color w:val="262626"/>
          <w:w w:val="105"/>
          <w:sz w:val="15"/>
        </w:rPr>
        <w:t>of Management</w:t>
      </w:r>
      <w:r>
        <w:rPr>
          <w:color w:val="262626"/>
          <w:spacing w:val="13"/>
          <w:w w:val="105"/>
          <w:sz w:val="15"/>
        </w:rPr>
        <w:t> </w:t>
      </w:r>
      <w:r>
        <w:rPr>
          <w:color w:val="131515"/>
          <w:w w:val="105"/>
          <w:sz w:val="15"/>
        </w:rPr>
        <w:t>Studies,</w:t>
      </w:r>
      <w:r>
        <w:rPr>
          <w:color w:val="131515"/>
          <w:spacing w:val="-3"/>
          <w:w w:val="105"/>
          <w:sz w:val="15"/>
        </w:rPr>
        <w:t> </w:t>
      </w:r>
      <w:r>
        <w:rPr>
          <w:color w:val="262626"/>
          <w:w w:val="105"/>
          <w:sz w:val="15"/>
        </w:rPr>
        <w:t>Comilla</w:t>
      </w:r>
      <w:r>
        <w:rPr>
          <w:color w:val="262626"/>
          <w:spacing w:val="9"/>
          <w:w w:val="105"/>
          <w:sz w:val="15"/>
        </w:rPr>
        <w:t> </w:t>
      </w:r>
      <w:r>
        <w:rPr>
          <w:color w:val="262626"/>
          <w:w w:val="105"/>
          <w:sz w:val="15"/>
        </w:rPr>
        <w:t>University,</w:t>
      </w:r>
      <w:r>
        <w:rPr>
          <w:color w:val="262626"/>
          <w:spacing w:val="8"/>
          <w:w w:val="105"/>
          <w:sz w:val="15"/>
        </w:rPr>
        <w:t> </w:t>
      </w:r>
      <w:r>
        <w:rPr>
          <w:color w:val="262626"/>
          <w:w w:val="105"/>
          <w:sz w:val="15"/>
        </w:rPr>
        <w:t>Cumilla-3506,</w:t>
      </w:r>
      <w:r>
        <w:rPr>
          <w:color w:val="262626"/>
          <w:spacing w:val="4"/>
          <w:w w:val="105"/>
          <w:sz w:val="15"/>
        </w:rPr>
        <w:t> </w:t>
      </w:r>
      <w:r>
        <w:rPr>
          <w:color w:val="131515"/>
          <w:spacing w:val="-2"/>
          <w:w w:val="105"/>
          <w:sz w:val="15"/>
        </w:rPr>
        <w:t>Bangladesh</w:t>
      </w:r>
    </w:p>
    <w:p>
      <w:pPr>
        <w:pStyle w:val="BodyText"/>
        <w:rPr>
          <w:sz w:val="15"/>
        </w:rPr>
      </w:pPr>
    </w:p>
    <w:p>
      <w:pPr>
        <w:pStyle w:val="BodyText"/>
        <w:spacing w:before="142"/>
        <w:rPr>
          <w:sz w:val="15"/>
        </w:rPr>
      </w:pPr>
    </w:p>
    <w:p>
      <w:pPr>
        <w:spacing w:before="0"/>
        <w:ind w:left="853" w:right="823" w:firstLine="0"/>
        <w:jc w:val="center"/>
        <w:rPr>
          <w:sz w:val="18"/>
        </w:rPr>
      </w:pPr>
      <w:r>
        <w:rPr>
          <w:color w:val="262626"/>
          <w:spacing w:val="-5"/>
          <w:sz w:val="18"/>
        </w:rPr>
        <w:t>57</w:t>
      </w:r>
    </w:p>
    <w:p>
      <w:pPr>
        <w:spacing w:after="0"/>
        <w:jc w:val="center"/>
        <w:rPr>
          <w:sz w:val="18"/>
        </w:rPr>
        <w:sectPr>
          <w:type w:val="continuous"/>
          <w:pgSz w:w="11520" w:h="15120"/>
          <w:pgMar w:top="1660" w:bottom="280" w:left="1440" w:right="1440"/>
          <w:pgBorders w:offsetFrom="page">
            <w:top w:val="single" w:color="E6E7E8" w:space="27" w:sz="2"/>
            <w:left w:val="single" w:color="E6E7E8" w:space="27" w:sz="2"/>
            <w:bottom w:val="single" w:color="E6E7E8" w:space="27" w:sz="2"/>
            <w:right w:val="single" w:color="E6E7E8" w:space="27" w:sz="2"/>
          </w:pgBorders>
        </w:sectPr>
      </w:pPr>
    </w:p>
    <w:p>
      <w:pPr>
        <w:spacing w:before="63"/>
        <w:ind w:left="849" w:right="823" w:firstLine="0"/>
        <w:jc w:val="center"/>
        <w:rPr>
          <w:i/>
          <w:sz w:val="18"/>
        </w:rPr>
      </w:pPr>
      <w:bookmarkStart w:name="Page 58" w:id="2"/>
      <w:bookmarkEnd w:id="2"/>
      <w:r>
        <w:rPr/>
      </w:r>
      <w:r>
        <w:rPr>
          <w:i/>
          <w:color w:val="3B3838"/>
          <w:sz w:val="18"/>
        </w:rPr>
        <w:t>Mahbub</w:t>
      </w:r>
      <w:r>
        <w:rPr>
          <w:i/>
          <w:color w:val="565454"/>
          <w:sz w:val="18"/>
        </w:rPr>
        <w:t>/</w:t>
      </w:r>
      <w:r>
        <w:rPr>
          <w:i/>
          <w:color w:val="3B3838"/>
          <w:sz w:val="18"/>
        </w:rPr>
        <w:t>Comilla</w:t>
      </w:r>
      <w:r>
        <w:rPr>
          <w:i/>
          <w:color w:val="3B3838"/>
          <w:spacing w:val="-12"/>
          <w:sz w:val="18"/>
        </w:rPr>
        <w:t> </w:t>
      </w:r>
      <w:r>
        <w:rPr>
          <w:i/>
          <w:color w:val="3B3838"/>
          <w:sz w:val="18"/>
        </w:rPr>
        <w:t>Un</w:t>
      </w:r>
      <w:r>
        <w:rPr>
          <w:i/>
          <w:color w:val="111313"/>
          <w:sz w:val="18"/>
        </w:rPr>
        <w:t>i</w:t>
      </w:r>
      <w:r>
        <w:rPr>
          <w:i/>
          <w:color w:val="3B3838"/>
          <w:sz w:val="18"/>
        </w:rPr>
        <w:t>versity</w:t>
      </w:r>
      <w:r>
        <w:rPr>
          <w:i/>
          <w:color w:val="3B3838"/>
          <w:spacing w:val="-11"/>
          <w:sz w:val="18"/>
        </w:rPr>
        <w:t> </w:t>
      </w:r>
      <w:r>
        <w:rPr>
          <w:i/>
          <w:color w:val="3B3838"/>
          <w:sz w:val="18"/>
        </w:rPr>
        <w:t>Journal</w:t>
      </w:r>
      <w:r>
        <w:rPr>
          <w:i/>
          <w:color w:val="3B3838"/>
          <w:spacing w:val="-3"/>
          <w:sz w:val="18"/>
        </w:rPr>
        <w:t> </w:t>
      </w:r>
      <w:r>
        <w:rPr>
          <w:i/>
          <w:color w:val="3B3838"/>
          <w:sz w:val="18"/>
        </w:rPr>
        <w:t>of</w:t>
      </w:r>
      <w:r>
        <w:rPr>
          <w:i/>
          <w:color w:val="3B3838"/>
          <w:spacing w:val="-4"/>
          <w:sz w:val="18"/>
        </w:rPr>
        <w:t> </w:t>
      </w:r>
      <w:r>
        <w:rPr>
          <w:i/>
          <w:color w:val="3B3838"/>
          <w:sz w:val="18"/>
        </w:rPr>
        <w:t>Business</w:t>
      </w:r>
      <w:r>
        <w:rPr>
          <w:i/>
          <w:color w:val="3B3838"/>
          <w:spacing w:val="-1"/>
          <w:sz w:val="18"/>
        </w:rPr>
        <w:t> </w:t>
      </w:r>
      <w:r>
        <w:rPr>
          <w:i/>
          <w:color w:val="3B3838"/>
          <w:sz w:val="18"/>
        </w:rPr>
        <w:t>Studies</w:t>
      </w:r>
      <w:r>
        <w:rPr>
          <w:i/>
          <w:color w:val="3B3838"/>
          <w:spacing w:val="53"/>
          <w:sz w:val="18"/>
        </w:rPr>
        <w:t> </w:t>
      </w:r>
      <w:r>
        <w:rPr>
          <w:i/>
          <w:color w:val="111313"/>
          <w:sz w:val="18"/>
        </w:rPr>
        <w:t>IO</w:t>
      </w:r>
      <w:r>
        <w:rPr>
          <w:i/>
          <w:color w:val="111313"/>
          <w:spacing w:val="-11"/>
          <w:sz w:val="18"/>
        </w:rPr>
        <w:t> </w:t>
      </w:r>
      <w:r>
        <w:rPr>
          <w:i/>
          <w:color w:val="3B3838"/>
          <w:sz w:val="18"/>
        </w:rPr>
        <w:t>(2023)</w:t>
      </w:r>
      <w:r>
        <w:rPr>
          <w:i/>
          <w:color w:val="3B3838"/>
          <w:spacing w:val="-7"/>
          <w:sz w:val="18"/>
        </w:rPr>
        <w:t> </w:t>
      </w:r>
      <w:r>
        <w:rPr>
          <w:i/>
          <w:color w:val="3B3838"/>
          <w:sz w:val="18"/>
        </w:rPr>
        <w:t>5</w:t>
      </w:r>
      <w:r>
        <w:rPr>
          <w:color w:val="3B3838"/>
          <w:sz w:val="17"/>
        </w:rPr>
        <w:t>7</w:t>
      </w:r>
      <w:r>
        <w:rPr>
          <w:color w:val="111313"/>
          <w:sz w:val="17"/>
        </w:rPr>
        <w:t>-</w:t>
      </w:r>
      <w:r>
        <w:rPr>
          <w:i/>
          <w:color w:val="3B3838"/>
          <w:spacing w:val="-7"/>
          <w:sz w:val="18"/>
        </w:rPr>
        <w:t>77</w:t>
      </w:r>
    </w:p>
    <w:p>
      <w:pPr>
        <w:pStyle w:val="BodyText"/>
        <w:spacing w:before="149"/>
        <w:rPr>
          <w:i/>
          <w:sz w:val="18"/>
        </w:rPr>
      </w:pPr>
    </w:p>
    <w:p>
      <w:pPr>
        <w:pStyle w:val="BodyText"/>
        <w:spacing w:line="278" w:lineRule="auto"/>
        <w:ind w:left="321" w:right="308" w:firstLine="4"/>
        <w:jc w:val="both"/>
      </w:pPr>
      <w:r>
        <w:rPr>
          <w:color w:val="111313"/>
        </w:rPr>
        <w:t>foreign exchange earnings the RMG sector is integral to Bangladesh's growth trajectory (Rahman, 2020). Amidst the competitive pressures of the global market, the imperative for continuous enhancement of productivity and efficiency within this sector has become paramount (Hossain &amp; Islam</w:t>
      </w:r>
      <w:r>
        <w:rPr>
          <w:color w:val="3B3838"/>
        </w:rPr>
        <w:t>, </w:t>
      </w:r>
      <w:r>
        <w:rPr>
          <w:color w:val="111313"/>
        </w:rPr>
        <w:t>2019). In this context, the significance of training and development initiatives cannot be overstated, as they play a crucial role in employee skills, knowledge, and performance (Alam et al., 2018).</w:t>
      </w:r>
    </w:p>
    <w:p>
      <w:pPr>
        <w:pStyle w:val="BodyText"/>
        <w:spacing w:line="278" w:lineRule="auto" w:before="103"/>
        <w:ind w:left="321" w:right="302" w:firstLine="4"/>
        <w:jc w:val="both"/>
      </w:pPr>
      <w:r>
        <w:rPr>
          <w:color w:val="111313"/>
        </w:rPr>
        <w:t>While the relationship between training</w:t>
      </w:r>
      <w:r>
        <w:rPr>
          <w:color w:val="111313"/>
          <w:spacing w:val="-1"/>
        </w:rPr>
        <w:t> </w:t>
      </w:r>
      <w:r>
        <w:rPr>
          <w:color w:val="111313"/>
        </w:rPr>
        <w:t>and</w:t>
      </w:r>
      <w:r>
        <w:rPr>
          <w:color w:val="111313"/>
          <w:spacing w:val="-5"/>
        </w:rPr>
        <w:t> </w:t>
      </w:r>
      <w:r>
        <w:rPr>
          <w:color w:val="111313"/>
        </w:rPr>
        <w:t>development and</w:t>
      </w:r>
      <w:r>
        <w:rPr>
          <w:color w:val="111313"/>
          <w:spacing w:val="-2"/>
        </w:rPr>
        <w:t> </w:t>
      </w:r>
      <w:r>
        <w:rPr>
          <w:color w:val="111313"/>
        </w:rPr>
        <w:t>employee productivity has been extensively explored in various organizational contexts globally (Jiang et al., 2019; Noe,</w:t>
      </w:r>
      <w:r>
        <w:rPr>
          <w:color w:val="111313"/>
          <w:spacing w:val="40"/>
        </w:rPr>
        <w:t> </w:t>
      </w:r>
      <w:r>
        <w:rPr>
          <w:color w:val="111313"/>
        </w:rPr>
        <w:t>2013),</w:t>
      </w:r>
      <w:r>
        <w:rPr>
          <w:color w:val="111313"/>
          <w:spacing w:val="40"/>
        </w:rPr>
        <w:t> </w:t>
      </w:r>
      <w:r>
        <w:rPr>
          <w:color w:val="111313"/>
        </w:rPr>
        <w:t>there remains a</w:t>
      </w:r>
      <w:r>
        <w:rPr>
          <w:color w:val="111313"/>
          <w:spacing w:val="-3"/>
        </w:rPr>
        <w:t> </w:t>
      </w:r>
      <w:r>
        <w:rPr>
          <w:color w:val="111313"/>
        </w:rPr>
        <w:t>paucity of research specifically examining this nexus within the</w:t>
      </w:r>
      <w:r>
        <w:rPr>
          <w:color w:val="111313"/>
          <w:spacing w:val="-1"/>
        </w:rPr>
        <w:t> </w:t>
      </w:r>
      <w:r>
        <w:rPr>
          <w:color w:val="111313"/>
        </w:rPr>
        <w:t>RMG sector of Bangladesh. Given the unique characteristics of this industry</w:t>
      </w:r>
      <w:r>
        <w:rPr>
          <w:color w:val="3B3838"/>
        </w:rPr>
        <w:t>, </w:t>
      </w:r>
      <w:r>
        <w:rPr>
          <w:color w:val="111313"/>
        </w:rPr>
        <w:t>such as its labor-intensive nature,</w:t>
      </w:r>
      <w:r>
        <w:rPr>
          <w:color w:val="111313"/>
          <w:spacing w:val="-1"/>
        </w:rPr>
        <w:t> </w:t>
      </w:r>
      <w:r>
        <w:rPr>
          <w:color w:val="111313"/>
        </w:rPr>
        <w:t>high turnover rates,</w:t>
      </w:r>
      <w:r>
        <w:rPr>
          <w:color w:val="111313"/>
          <w:spacing w:val="-2"/>
        </w:rPr>
        <w:t> </w:t>
      </w:r>
      <w:r>
        <w:rPr>
          <w:color w:val="111313"/>
        </w:rPr>
        <w:t>and evolving technological landscape, understanding the dynamics between training and development initiatives and employee productivity becomes imperative for sustaining competitiveness and fostering growth (Hasan &amp; Hossain, 2018). Moreover, within the framework of training and development, the concept of training motivation emerges as a critical mediating factor that influences the translation of training inputs into tangible productivity outcomes (Alzahmi &amp; Al-Musadieq, 2019). Training motivation encapsulates the individual's drive, enthusiasm, and willingness to engage in training</w:t>
      </w:r>
      <w:r>
        <w:rPr>
          <w:color w:val="111313"/>
          <w:spacing w:val="23"/>
        </w:rPr>
        <w:t> </w:t>
      </w:r>
      <w:r>
        <w:rPr>
          <w:color w:val="111313"/>
        </w:rPr>
        <w:t>activities,</w:t>
      </w:r>
      <w:r>
        <w:rPr>
          <w:color w:val="111313"/>
          <w:spacing w:val="30"/>
        </w:rPr>
        <w:t> </w:t>
      </w:r>
      <w:r>
        <w:rPr>
          <w:color w:val="111313"/>
        </w:rPr>
        <w:t>which</w:t>
      </w:r>
      <w:r>
        <w:rPr>
          <w:color w:val="111313"/>
          <w:spacing w:val="28"/>
        </w:rPr>
        <w:t> </w:t>
      </w:r>
      <w:r>
        <w:rPr>
          <w:color w:val="111313"/>
        </w:rPr>
        <w:t>in</w:t>
      </w:r>
      <w:r>
        <w:rPr>
          <w:color w:val="111313"/>
          <w:spacing w:val="23"/>
        </w:rPr>
        <w:t> </w:t>
      </w:r>
      <w:r>
        <w:rPr>
          <w:color w:val="111313"/>
        </w:rPr>
        <w:t>turn,</w:t>
      </w:r>
      <w:r>
        <w:rPr>
          <w:color w:val="111313"/>
          <w:spacing w:val="19"/>
        </w:rPr>
        <w:t> </w:t>
      </w:r>
      <w:r>
        <w:rPr>
          <w:color w:val="111313"/>
        </w:rPr>
        <w:t>shapes</w:t>
      </w:r>
      <w:r>
        <w:rPr>
          <w:color w:val="111313"/>
          <w:spacing w:val="24"/>
        </w:rPr>
        <w:t> </w:t>
      </w:r>
      <w:r>
        <w:rPr>
          <w:color w:val="111313"/>
        </w:rPr>
        <w:t>the effectiveness</w:t>
      </w:r>
      <w:r>
        <w:rPr>
          <w:color w:val="111313"/>
          <w:spacing w:val="32"/>
        </w:rPr>
        <w:t> </w:t>
      </w:r>
      <w:r>
        <w:rPr>
          <w:color w:val="111313"/>
        </w:rPr>
        <w:t>of</w:t>
      </w:r>
      <w:r>
        <w:rPr>
          <w:color w:val="111313"/>
          <w:spacing w:val="19"/>
        </w:rPr>
        <w:t> </w:t>
      </w:r>
      <w:r>
        <w:rPr>
          <w:color w:val="111313"/>
        </w:rPr>
        <w:t>training</w:t>
      </w:r>
      <w:r>
        <w:rPr>
          <w:color w:val="111313"/>
          <w:spacing w:val="24"/>
        </w:rPr>
        <w:t> </w:t>
      </w:r>
      <w:r>
        <w:rPr>
          <w:color w:val="111313"/>
        </w:rPr>
        <w:t>interventions</w:t>
      </w:r>
      <w:r>
        <w:rPr>
          <w:color w:val="111313"/>
          <w:spacing w:val="34"/>
        </w:rPr>
        <w:t> </w:t>
      </w:r>
      <w:r>
        <w:rPr>
          <w:color w:val="111313"/>
        </w:rPr>
        <w:t>(Colquitt et al., 2011). Despite its</w:t>
      </w:r>
      <w:r>
        <w:rPr>
          <w:color w:val="111313"/>
          <w:spacing w:val="-1"/>
        </w:rPr>
        <w:t> </w:t>
      </w:r>
      <w:r>
        <w:rPr>
          <w:color w:val="111313"/>
        </w:rPr>
        <w:t>recognized importance this empirical investigation has been explored as the mediating role of training motivation in the relationship between training and development initiatives and employee productivity remain limited, particularly within the context of the RMG sector in Bangladesh.</w:t>
      </w:r>
    </w:p>
    <w:p>
      <w:pPr>
        <w:pStyle w:val="BodyText"/>
        <w:spacing w:line="292" w:lineRule="auto" w:before="112"/>
        <w:ind w:left="321" w:right="303" w:firstLine="1"/>
        <w:jc w:val="both"/>
      </w:pPr>
      <w:r>
        <w:rPr>
          <w:color w:val="111313"/>
        </w:rPr>
        <w:t>Therefore,</w:t>
      </w:r>
      <w:r>
        <w:rPr>
          <w:color w:val="111313"/>
          <w:spacing w:val="40"/>
        </w:rPr>
        <w:t> </w:t>
      </w:r>
      <w:r>
        <w:rPr>
          <w:color w:val="111313"/>
        </w:rPr>
        <w:t>this study aims to fill</w:t>
      </w:r>
      <w:r>
        <w:rPr>
          <w:color w:val="111313"/>
          <w:spacing w:val="40"/>
        </w:rPr>
        <w:t> </w:t>
      </w:r>
      <w:r>
        <w:rPr>
          <w:color w:val="111313"/>
        </w:rPr>
        <w:t>this gap</w:t>
      </w:r>
      <w:r>
        <w:rPr>
          <w:color w:val="111313"/>
          <w:spacing w:val="40"/>
        </w:rPr>
        <w:t> </w:t>
      </w:r>
      <w:r>
        <w:rPr>
          <w:color w:val="111313"/>
        </w:rPr>
        <w:t>by exammmg</w:t>
      </w:r>
      <w:r>
        <w:rPr>
          <w:color w:val="111313"/>
          <w:spacing w:val="40"/>
        </w:rPr>
        <w:t> </w:t>
      </w:r>
      <w:r>
        <w:rPr>
          <w:color w:val="111313"/>
        </w:rPr>
        <w:t>the impact of training and development on employee productivity within the RMG sector in Bangladesh, while also investigating the mediating role of training motivation in this relationship. By elucidating the mechanisms</w:t>
      </w:r>
      <w:r>
        <w:rPr>
          <w:color w:val="111313"/>
          <w:spacing w:val="40"/>
        </w:rPr>
        <w:t> </w:t>
      </w:r>
      <w:r>
        <w:rPr>
          <w:color w:val="111313"/>
        </w:rPr>
        <w:t>through</w:t>
      </w:r>
      <w:r>
        <w:rPr>
          <w:color w:val="111313"/>
          <w:spacing w:val="40"/>
        </w:rPr>
        <w:t> </w:t>
      </w:r>
      <w:r>
        <w:rPr>
          <w:color w:val="111313"/>
        </w:rPr>
        <w:t>which</w:t>
      </w:r>
      <w:r>
        <w:rPr>
          <w:color w:val="111313"/>
          <w:spacing w:val="40"/>
        </w:rPr>
        <w:t> </w:t>
      </w:r>
      <w:r>
        <w:rPr>
          <w:color w:val="111313"/>
        </w:rPr>
        <w:t>training</w:t>
      </w:r>
      <w:r>
        <w:rPr>
          <w:color w:val="111313"/>
          <w:spacing w:val="40"/>
        </w:rPr>
        <w:t> </w:t>
      </w:r>
      <w:r>
        <w:rPr>
          <w:color w:val="111313"/>
        </w:rPr>
        <w:t>initiatives</w:t>
      </w:r>
      <w:r>
        <w:rPr>
          <w:color w:val="111313"/>
          <w:spacing w:val="40"/>
        </w:rPr>
        <w:t> </w:t>
      </w:r>
      <w:r>
        <w:rPr>
          <w:color w:val="111313"/>
        </w:rPr>
        <w:t>influence</w:t>
      </w:r>
      <w:r>
        <w:rPr>
          <w:color w:val="111313"/>
          <w:spacing w:val="40"/>
        </w:rPr>
        <w:t> </w:t>
      </w:r>
      <w:r>
        <w:rPr>
          <w:color w:val="111313"/>
        </w:rPr>
        <w:t>employee</w:t>
      </w:r>
      <w:r>
        <w:rPr>
          <w:color w:val="111313"/>
          <w:spacing w:val="40"/>
        </w:rPr>
        <w:t> </w:t>
      </w:r>
      <w:r>
        <w:rPr>
          <w:color w:val="111313"/>
        </w:rPr>
        <w:t>productivity</w:t>
      </w:r>
      <w:r>
        <w:rPr>
          <w:color w:val="111313"/>
          <w:spacing w:val="40"/>
        </w:rPr>
        <w:t> </w:t>
      </w:r>
      <w:r>
        <w:rPr>
          <w:color w:val="111313"/>
        </w:rPr>
        <w:t>via motivation pathways, this research seeks to provide valuable insights for both academia and industry practitioners.</w:t>
      </w:r>
      <w:r>
        <w:rPr>
          <w:color w:val="111313"/>
          <w:spacing w:val="-3"/>
        </w:rPr>
        <w:t> </w:t>
      </w:r>
      <w:r>
        <w:rPr>
          <w:color w:val="111313"/>
        </w:rPr>
        <w:t>Ultimately, the findings of this study are expected to inform the design and implementation of more effective training and development strategies tailored to the unique</w:t>
      </w:r>
      <w:r>
        <w:rPr>
          <w:color w:val="111313"/>
          <w:spacing w:val="40"/>
        </w:rPr>
        <w:t> </w:t>
      </w:r>
      <w:r>
        <w:rPr>
          <w:color w:val="111313"/>
        </w:rPr>
        <w:t>needs</w:t>
      </w:r>
      <w:r>
        <w:rPr>
          <w:color w:val="111313"/>
          <w:spacing w:val="40"/>
        </w:rPr>
        <w:t> </w:t>
      </w:r>
      <w:r>
        <w:rPr>
          <w:color w:val="111313"/>
        </w:rPr>
        <w:t>and</w:t>
      </w:r>
      <w:r>
        <w:rPr>
          <w:color w:val="111313"/>
          <w:spacing w:val="40"/>
        </w:rPr>
        <w:t> </w:t>
      </w:r>
      <w:r>
        <w:rPr>
          <w:color w:val="111313"/>
        </w:rPr>
        <w:t>challenges</w:t>
      </w:r>
      <w:r>
        <w:rPr>
          <w:color w:val="111313"/>
          <w:spacing w:val="40"/>
        </w:rPr>
        <w:t> </w:t>
      </w:r>
      <w:r>
        <w:rPr>
          <w:color w:val="111313"/>
        </w:rPr>
        <w:t>of</w:t>
      </w:r>
      <w:r>
        <w:rPr>
          <w:color w:val="111313"/>
          <w:spacing w:val="40"/>
        </w:rPr>
        <w:t> </w:t>
      </w:r>
      <w:r>
        <w:rPr>
          <w:color w:val="111313"/>
        </w:rPr>
        <w:t>the</w:t>
      </w:r>
      <w:r>
        <w:rPr>
          <w:color w:val="111313"/>
          <w:spacing w:val="40"/>
        </w:rPr>
        <w:t> </w:t>
      </w:r>
      <w:r>
        <w:rPr>
          <w:color w:val="111313"/>
        </w:rPr>
        <w:t>RMG</w:t>
      </w:r>
      <w:r>
        <w:rPr>
          <w:color w:val="111313"/>
          <w:spacing w:val="40"/>
        </w:rPr>
        <w:t> </w:t>
      </w:r>
      <w:r>
        <w:rPr>
          <w:color w:val="111313"/>
        </w:rPr>
        <w:t>sector</w:t>
      </w:r>
      <w:r>
        <w:rPr>
          <w:color w:val="3B3838"/>
        </w:rPr>
        <w:t>, </w:t>
      </w:r>
      <w:r>
        <w:rPr>
          <w:color w:val="111313"/>
        </w:rPr>
        <w:t>thereby</w:t>
      </w:r>
      <w:r>
        <w:rPr>
          <w:color w:val="111313"/>
          <w:spacing w:val="40"/>
        </w:rPr>
        <w:t> </w:t>
      </w:r>
      <w:r>
        <w:rPr>
          <w:color w:val="111313"/>
        </w:rPr>
        <w:t>contributing</w:t>
      </w:r>
      <w:r>
        <w:rPr>
          <w:color w:val="111313"/>
          <w:spacing w:val="40"/>
        </w:rPr>
        <w:t> </w:t>
      </w:r>
      <w:r>
        <w:rPr>
          <w:color w:val="111313"/>
        </w:rPr>
        <w:t>to</w:t>
      </w:r>
      <w:r>
        <w:rPr>
          <w:color w:val="111313"/>
          <w:spacing w:val="40"/>
        </w:rPr>
        <w:t> </w:t>
      </w:r>
      <w:r>
        <w:rPr>
          <w:color w:val="111313"/>
        </w:rPr>
        <w:t>its </w:t>
      </w:r>
      <w:r>
        <w:rPr>
          <w:color w:val="282828"/>
        </w:rPr>
        <w:t>sustainable </w:t>
      </w:r>
      <w:r>
        <w:rPr>
          <w:color w:val="111313"/>
        </w:rPr>
        <w:t>growth and competitiveness in the global market.</w:t>
      </w:r>
    </w:p>
    <w:p>
      <w:pPr>
        <w:pStyle w:val="ListParagraph"/>
        <w:numPr>
          <w:ilvl w:val="0"/>
          <w:numId w:val="1"/>
        </w:numPr>
        <w:tabs>
          <w:tab w:pos="536" w:val="left" w:leader="none"/>
        </w:tabs>
        <w:spacing w:line="240" w:lineRule="auto" w:before="102" w:after="0"/>
        <w:ind w:left="536" w:right="0" w:hanging="212"/>
        <w:jc w:val="both"/>
        <w:rPr>
          <w:b/>
          <w:color w:val="111313"/>
          <w:sz w:val="20"/>
        </w:rPr>
      </w:pPr>
      <w:r>
        <w:rPr>
          <w:b/>
          <w:color w:val="111313"/>
          <w:w w:val="105"/>
          <w:sz w:val="20"/>
        </w:rPr>
        <w:t>Literature </w:t>
      </w:r>
      <w:r>
        <w:rPr>
          <w:b/>
          <w:color w:val="111313"/>
          <w:spacing w:val="-2"/>
          <w:w w:val="105"/>
          <w:sz w:val="20"/>
        </w:rPr>
        <w:t>Review</w:t>
      </w:r>
    </w:p>
    <w:p>
      <w:pPr>
        <w:pStyle w:val="ListParagraph"/>
        <w:numPr>
          <w:ilvl w:val="1"/>
          <w:numId w:val="1"/>
        </w:numPr>
        <w:tabs>
          <w:tab w:pos="644" w:val="left" w:leader="none"/>
        </w:tabs>
        <w:spacing w:line="240" w:lineRule="auto" w:before="146" w:after="0"/>
        <w:ind w:left="644" w:right="0" w:hanging="319"/>
        <w:jc w:val="both"/>
        <w:rPr>
          <w:i/>
          <w:color w:val="111313"/>
          <w:sz w:val="21"/>
        </w:rPr>
      </w:pPr>
      <w:r>
        <w:rPr>
          <w:i/>
          <w:color w:val="111313"/>
          <w:sz w:val="21"/>
        </w:rPr>
        <w:t>Training</w:t>
      </w:r>
      <w:r>
        <w:rPr>
          <w:i/>
          <w:color w:val="111313"/>
          <w:spacing w:val="8"/>
          <w:sz w:val="21"/>
        </w:rPr>
        <w:t> </w:t>
      </w:r>
      <w:r>
        <w:rPr>
          <w:i/>
          <w:color w:val="111313"/>
          <w:sz w:val="21"/>
        </w:rPr>
        <w:t>&amp;</w:t>
      </w:r>
      <w:r>
        <w:rPr>
          <w:i/>
          <w:color w:val="111313"/>
          <w:spacing w:val="-11"/>
          <w:sz w:val="21"/>
        </w:rPr>
        <w:t> </w:t>
      </w:r>
      <w:r>
        <w:rPr>
          <w:i/>
          <w:color w:val="111313"/>
          <w:sz w:val="21"/>
        </w:rPr>
        <w:t>Development</w:t>
      </w:r>
      <w:r>
        <w:rPr>
          <w:i/>
          <w:color w:val="111313"/>
          <w:spacing w:val="7"/>
          <w:sz w:val="21"/>
        </w:rPr>
        <w:t> </w:t>
      </w:r>
      <w:r>
        <w:rPr>
          <w:i/>
          <w:color w:val="111313"/>
          <w:sz w:val="21"/>
        </w:rPr>
        <w:t>and</w:t>
      </w:r>
      <w:r>
        <w:rPr>
          <w:i/>
          <w:color w:val="111313"/>
          <w:spacing w:val="10"/>
          <w:sz w:val="21"/>
        </w:rPr>
        <w:t> </w:t>
      </w:r>
      <w:r>
        <w:rPr>
          <w:i/>
          <w:color w:val="111313"/>
          <w:sz w:val="21"/>
        </w:rPr>
        <w:t>Employee</w:t>
      </w:r>
      <w:r>
        <w:rPr>
          <w:i/>
          <w:color w:val="111313"/>
          <w:spacing w:val="9"/>
          <w:sz w:val="21"/>
        </w:rPr>
        <w:t> </w:t>
      </w:r>
      <w:r>
        <w:rPr>
          <w:i/>
          <w:color w:val="111313"/>
          <w:spacing w:val="-2"/>
          <w:sz w:val="21"/>
        </w:rPr>
        <w:t>Productivity</w:t>
      </w:r>
    </w:p>
    <w:p>
      <w:pPr>
        <w:pStyle w:val="BodyText"/>
        <w:spacing w:line="290" w:lineRule="auto" w:before="152"/>
        <w:ind w:left="321" w:right="309" w:firstLine="1"/>
        <w:jc w:val="both"/>
      </w:pPr>
      <w:r>
        <w:rPr>
          <w:color w:val="111313"/>
        </w:rPr>
        <w:t>The relationship between training and development (T&amp;D) initiatives and employee productivity has been a subject of </w:t>
      </w:r>
      <w:r>
        <w:rPr>
          <w:color w:val="282828"/>
        </w:rPr>
        <w:t>significant </w:t>
      </w:r>
      <w:r>
        <w:rPr>
          <w:color w:val="111313"/>
        </w:rPr>
        <w:t>scholarly inquiry across various industries and organizational contexts.</w:t>
      </w:r>
    </w:p>
    <w:p>
      <w:pPr>
        <w:pStyle w:val="BodyText"/>
      </w:pPr>
    </w:p>
    <w:p>
      <w:pPr>
        <w:pStyle w:val="BodyText"/>
      </w:pPr>
    </w:p>
    <w:p>
      <w:pPr>
        <w:pStyle w:val="BodyText"/>
      </w:pPr>
    </w:p>
    <w:p>
      <w:pPr>
        <w:pStyle w:val="BodyText"/>
      </w:pPr>
    </w:p>
    <w:p>
      <w:pPr>
        <w:pStyle w:val="BodyText"/>
        <w:spacing w:before="10"/>
      </w:pPr>
    </w:p>
    <w:p>
      <w:pPr>
        <w:spacing w:before="1"/>
        <w:ind w:left="855" w:right="823" w:firstLine="0"/>
        <w:jc w:val="center"/>
        <w:rPr>
          <w:sz w:val="17"/>
        </w:rPr>
      </w:pPr>
      <w:r>
        <w:rPr>
          <w:color w:val="3B3838"/>
          <w:spacing w:val="-5"/>
          <w:w w:val="110"/>
          <w:sz w:val="17"/>
        </w:rPr>
        <w:t>58</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59" w:id="3"/>
      <w:bookmarkEnd w:id="3"/>
      <w:r>
        <w:rPr/>
      </w:r>
      <w:r>
        <w:rPr>
          <w:i/>
          <w:color w:val="3B3838"/>
          <w:sz w:val="18"/>
        </w:rPr>
        <w:t>Mahbub</w:t>
      </w:r>
      <w:r>
        <w:rPr>
          <w:i/>
          <w:color w:val="565454"/>
          <w:sz w:val="18"/>
        </w:rPr>
        <w:t>/</w:t>
      </w:r>
      <w:r>
        <w:rPr>
          <w:i/>
          <w:color w:val="3B3838"/>
          <w:sz w:val="18"/>
        </w:rPr>
        <w:t>Comilla</w:t>
      </w:r>
      <w:r>
        <w:rPr>
          <w:i/>
          <w:color w:val="3B3838"/>
          <w:spacing w:val="-12"/>
          <w:sz w:val="18"/>
        </w:rPr>
        <w:t> </w:t>
      </w:r>
      <w:r>
        <w:rPr>
          <w:i/>
          <w:color w:val="3B3838"/>
          <w:sz w:val="18"/>
        </w:rPr>
        <w:t>Un</w:t>
      </w:r>
      <w:r>
        <w:rPr>
          <w:i/>
          <w:color w:val="111313"/>
          <w:sz w:val="18"/>
        </w:rPr>
        <w:t>i</w:t>
      </w:r>
      <w:r>
        <w:rPr>
          <w:i/>
          <w:color w:val="3B3838"/>
          <w:sz w:val="18"/>
        </w:rPr>
        <w:t>versity</w:t>
      </w:r>
      <w:r>
        <w:rPr>
          <w:i/>
          <w:color w:val="3B3838"/>
          <w:spacing w:val="-11"/>
          <w:sz w:val="18"/>
        </w:rPr>
        <w:t> </w:t>
      </w:r>
      <w:r>
        <w:rPr>
          <w:i/>
          <w:color w:val="3B3838"/>
          <w:sz w:val="18"/>
        </w:rPr>
        <w:t>Journal</w:t>
      </w:r>
      <w:r>
        <w:rPr>
          <w:i/>
          <w:color w:val="3B3838"/>
          <w:spacing w:val="-6"/>
          <w:sz w:val="18"/>
        </w:rPr>
        <w:t> </w:t>
      </w:r>
      <w:r>
        <w:rPr>
          <w:i/>
          <w:color w:val="3B3838"/>
          <w:sz w:val="18"/>
        </w:rPr>
        <w:t>of</w:t>
      </w:r>
      <w:r>
        <w:rPr>
          <w:i/>
          <w:color w:val="3B3838"/>
          <w:spacing w:val="-5"/>
          <w:sz w:val="18"/>
        </w:rPr>
        <w:t> </w:t>
      </w:r>
      <w:r>
        <w:rPr>
          <w:i/>
          <w:color w:val="3B3838"/>
          <w:sz w:val="18"/>
        </w:rPr>
        <w:t>Business</w:t>
      </w:r>
      <w:r>
        <w:rPr>
          <w:i/>
          <w:color w:val="3B3838"/>
          <w:spacing w:val="-2"/>
          <w:sz w:val="18"/>
        </w:rPr>
        <w:t> </w:t>
      </w:r>
      <w:r>
        <w:rPr>
          <w:i/>
          <w:color w:val="3B3838"/>
          <w:sz w:val="18"/>
        </w:rPr>
        <w:t>Studies</w:t>
      </w:r>
      <w:r>
        <w:rPr>
          <w:i/>
          <w:color w:val="3B3838"/>
          <w:spacing w:val="51"/>
          <w:sz w:val="18"/>
        </w:rPr>
        <w:t> </w:t>
      </w:r>
      <w:r>
        <w:rPr>
          <w:i/>
          <w:color w:val="111313"/>
          <w:sz w:val="18"/>
        </w:rPr>
        <w:t>IO</w:t>
      </w:r>
      <w:r>
        <w:rPr>
          <w:i/>
          <w:color w:val="111313"/>
          <w:spacing w:val="-11"/>
          <w:sz w:val="18"/>
        </w:rPr>
        <w:t> </w:t>
      </w:r>
      <w:r>
        <w:rPr>
          <w:i/>
          <w:color w:val="3B3838"/>
          <w:sz w:val="18"/>
        </w:rPr>
        <w:t>(2023)</w:t>
      </w:r>
      <w:r>
        <w:rPr>
          <w:i/>
          <w:color w:val="3B3838"/>
          <w:spacing w:val="-9"/>
          <w:sz w:val="18"/>
        </w:rPr>
        <w:t> </w:t>
      </w:r>
      <w:r>
        <w:rPr>
          <w:i/>
          <w:color w:val="3B3838"/>
          <w:sz w:val="18"/>
        </w:rPr>
        <w:t>5</w:t>
      </w:r>
      <w:r>
        <w:rPr>
          <w:color w:val="3B3838"/>
          <w:sz w:val="18"/>
        </w:rPr>
        <w:t>7</w:t>
      </w:r>
      <w:r>
        <w:rPr>
          <w:color w:val="111313"/>
          <w:sz w:val="18"/>
        </w:rPr>
        <w:t>-</w:t>
      </w:r>
      <w:r>
        <w:rPr>
          <w:i/>
          <w:color w:val="3B3838"/>
          <w:spacing w:val="-7"/>
          <w:sz w:val="18"/>
        </w:rPr>
        <w:t>77</w:t>
      </w:r>
    </w:p>
    <w:p>
      <w:pPr>
        <w:pStyle w:val="BodyText"/>
        <w:spacing w:before="149"/>
        <w:rPr>
          <w:i/>
          <w:sz w:val="18"/>
        </w:rPr>
      </w:pPr>
    </w:p>
    <w:p>
      <w:pPr>
        <w:pStyle w:val="BodyText"/>
        <w:spacing w:line="290" w:lineRule="auto"/>
        <w:ind w:left="315" w:right="313" w:firstLine="2"/>
        <w:jc w:val="both"/>
      </w:pPr>
      <w:r>
        <w:rPr>
          <w:color w:val="111313"/>
        </w:rPr>
        <w:t>Training and development programs are widely recognized as essential mechanisms for enhancing the skills</w:t>
      </w:r>
      <w:r>
        <w:rPr>
          <w:color w:val="3B3838"/>
        </w:rPr>
        <w:t>, </w:t>
      </w:r>
      <w:r>
        <w:rPr>
          <w:color w:val="111313"/>
        </w:rPr>
        <w:t>knowledge</w:t>
      </w:r>
      <w:r>
        <w:rPr>
          <w:color w:val="3B3838"/>
        </w:rPr>
        <w:t>,</w:t>
      </w:r>
      <w:r>
        <w:rPr>
          <w:color w:val="3B3838"/>
          <w:spacing w:val="-5"/>
        </w:rPr>
        <w:t> </w:t>
      </w:r>
      <w:r>
        <w:rPr>
          <w:color w:val="111313"/>
        </w:rPr>
        <w:t>and abilities of employees</w:t>
      </w:r>
      <w:r>
        <w:rPr>
          <w:color w:val="3B3838"/>
        </w:rPr>
        <w:t>, </w:t>
      </w:r>
      <w:r>
        <w:rPr>
          <w:color w:val="111313"/>
        </w:rPr>
        <w:t>thereby contributing to increased productivity (Alam &amp; Ahmed, 2018). In the RMG sector, which relies heavily on a large workforce, the effectiveness of T&amp;D initiatives is particularly pertinent for addressing skill gaps,</w:t>
      </w:r>
      <w:r>
        <w:rPr>
          <w:color w:val="111313"/>
          <w:spacing w:val="22"/>
        </w:rPr>
        <w:t> </w:t>
      </w:r>
      <w:r>
        <w:rPr>
          <w:color w:val="111313"/>
        </w:rPr>
        <w:t>improving</w:t>
      </w:r>
      <w:r>
        <w:rPr>
          <w:color w:val="111313"/>
          <w:spacing w:val="24"/>
        </w:rPr>
        <w:t> </w:t>
      </w:r>
      <w:r>
        <w:rPr>
          <w:color w:val="111313"/>
        </w:rPr>
        <w:t>operational</w:t>
      </w:r>
      <w:r>
        <w:rPr>
          <w:color w:val="111313"/>
          <w:spacing w:val="38"/>
        </w:rPr>
        <w:t> </w:t>
      </w:r>
      <w:r>
        <w:rPr>
          <w:color w:val="111313"/>
        </w:rPr>
        <w:t>efficiency,</w:t>
      </w:r>
      <w:r>
        <w:rPr>
          <w:color w:val="111313"/>
          <w:spacing w:val="28"/>
        </w:rPr>
        <w:t> </w:t>
      </w:r>
      <w:r>
        <w:rPr>
          <w:color w:val="111313"/>
        </w:rPr>
        <w:t>and</w:t>
      </w:r>
      <w:r>
        <w:rPr>
          <w:color w:val="111313"/>
          <w:spacing w:val="25"/>
        </w:rPr>
        <w:t> </w:t>
      </w:r>
      <w:r>
        <w:rPr>
          <w:color w:val="111313"/>
        </w:rPr>
        <w:t>adapting</w:t>
      </w:r>
      <w:r>
        <w:rPr>
          <w:color w:val="111313"/>
          <w:spacing w:val="24"/>
        </w:rPr>
        <w:t> </w:t>
      </w:r>
      <w:r>
        <w:rPr>
          <w:color w:val="111313"/>
        </w:rPr>
        <w:t>to changing</w:t>
      </w:r>
      <w:r>
        <w:rPr>
          <w:color w:val="111313"/>
          <w:spacing w:val="25"/>
        </w:rPr>
        <w:t> </w:t>
      </w:r>
      <w:r>
        <w:rPr>
          <w:color w:val="111313"/>
        </w:rPr>
        <w:t>market</w:t>
      </w:r>
      <w:r>
        <w:rPr>
          <w:color w:val="111313"/>
          <w:spacing w:val="25"/>
        </w:rPr>
        <w:t> </w:t>
      </w:r>
      <w:r>
        <w:rPr>
          <w:color w:val="111313"/>
        </w:rPr>
        <w:t>demands</w:t>
      </w:r>
      <w:r>
        <w:rPr>
          <w:color w:val="111313"/>
          <w:spacing w:val="27"/>
        </w:rPr>
        <w:t> </w:t>
      </w:r>
      <w:r>
        <w:rPr>
          <w:color w:val="111313"/>
        </w:rPr>
        <w:t>(Hossain &amp; Islam, 2019). Research suggests that employees who receive adequate training are better equipped</w:t>
      </w:r>
      <w:r>
        <w:rPr>
          <w:color w:val="111313"/>
          <w:spacing w:val="33"/>
        </w:rPr>
        <w:t> </w:t>
      </w:r>
      <w:r>
        <w:rPr>
          <w:color w:val="111313"/>
        </w:rPr>
        <w:t>to perform</w:t>
      </w:r>
      <w:r>
        <w:rPr>
          <w:color w:val="111313"/>
          <w:spacing w:val="27"/>
        </w:rPr>
        <w:t> </w:t>
      </w:r>
      <w:r>
        <w:rPr>
          <w:color w:val="111313"/>
        </w:rPr>
        <w:t>their roles</w:t>
      </w:r>
      <w:r>
        <w:rPr>
          <w:color w:val="111313"/>
          <w:spacing w:val="20"/>
        </w:rPr>
        <w:t> </w:t>
      </w:r>
      <w:r>
        <w:rPr>
          <w:color w:val="111313"/>
        </w:rPr>
        <w:t>efficiently,</w:t>
      </w:r>
      <w:r>
        <w:rPr>
          <w:color w:val="111313"/>
          <w:spacing w:val="29"/>
        </w:rPr>
        <w:t> </w:t>
      </w:r>
      <w:r>
        <w:rPr>
          <w:color w:val="111313"/>
        </w:rPr>
        <w:t>resulting</w:t>
      </w:r>
      <w:r>
        <w:rPr>
          <w:color w:val="111313"/>
          <w:spacing w:val="21"/>
        </w:rPr>
        <w:t> </w:t>
      </w:r>
      <w:r>
        <w:rPr>
          <w:color w:val="111313"/>
        </w:rPr>
        <w:t>in improved</w:t>
      </w:r>
      <w:r>
        <w:rPr>
          <w:color w:val="111313"/>
          <w:spacing w:val="24"/>
        </w:rPr>
        <w:t> </w:t>
      </w:r>
      <w:r>
        <w:rPr>
          <w:color w:val="111313"/>
        </w:rPr>
        <w:t>productivity</w:t>
      </w:r>
      <w:r>
        <w:rPr>
          <w:color w:val="111313"/>
          <w:spacing w:val="38"/>
        </w:rPr>
        <w:t> </w:t>
      </w:r>
      <w:r>
        <w:rPr>
          <w:color w:val="111313"/>
        </w:rPr>
        <w:t>levels (Hasan &amp; Hossain, 2018).</w:t>
      </w:r>
    </w:p>
    <w:p>
      <w:pPr>
        <w:pStyle w:val="BodyText"/>
        <w:spacing w:line="290" w:lineRule="auto" w:before="109"/>
        <w:ind w:left="315" w:right="314"/>
        <w:jc w:val="both"/>
      </w:pPr>
      <w:r>
        <w:rPr>
          <w:color w:val="111313"/>
        </w:rPr>
        <w:t>However, the effectiveness of T&amp;D programs in driving productivity outcomes depends not only on the availability and quality of training interventions but also on the motivational</w:t>
      </w:r>
      <w:r>
        <w:rPr>
          <w:color w:val="111313"/>
          <w:spacing w:val="40"/>
        </w:rPr>
        <w:t> </w:t>
      </w:r>
      <w:r>
        <w:rPr>
          <w:color w:val="111313"/>
        </w:rPr>
        <w:t>factors that influence employees' willingness to engage in training activities (Alzahmi &amp; Al-Musadieq, 2019). Within the RMG sector of Bangladesh</w:t>
      </w:r>
      <w:r>
        <w:rPr>
          <w:color w:val="3B3838"/>
        </w:rPr>
        <w:t>, </w:t>
      </w:r>
      <w:r>
        <w:rPr>
          <w:color w:val="111313"/>
        </w:rPr>
        <w:t>where workforce motivation and engagement</w:t>
      </w:r>
      <w:r>
        <w:rPr>
          <w:color w:val="111313"/>
          <w:spacing w:val="40"/>
        </w:rPr>
        <w:t> </w:t>
      </w:r>
      <w:r>
        <w:rPr>
          <w:color w:val="111313"/>
        </w:rPr>
        <w:t>are vital for overcoming</w:t>
      </w:r>
      <w:r>
        <w:rPr>
          <w:color w:val="111313"/>
          <w:spacing w:val="40"/>
        </w:rPr>
        <w:t> </w:t>
      </w:r>
      <w:r>
        <w:rPr>
          <w:color w:val="111313"/>
        </w:rPr>
        <w:t>the challenges associated</w:t>
      </w:r>
      <w:r>
        <w:rPr>
          <w:color w:val="111313"/>
          <w:spacing w:val="40"/>
        </w:rPr>
        <w:t> </w:t>
      </w:r>
      <w:r>
        <w:rPr>
          <w:color w:val="111313"/>
        </w:rPr>
        <w:t>with</w:t>
      </w:r>
      <w:r>
        <w:rPr>
          <w:color w:val="111313"/>
          <w:spacing w:val="40"/>
        </w:rPr>
        <w:t> </w:t>
      </w:r>
      <w:r>
        <w:rPr>
          <w:color w:val="111313"/>
        </w:rPr>
        <w:t>labor-intensive production processes and fluctuating market demands</w:t>
      </w:r>
      <w:r>
        <w:rPr>
          <w:color w:val="3B3838"/>
        </w:rPr>
        <w:t>, </w:t>
      </w:r>
      <w:r>
        <w:rPr>
          <w:color w:val="111313"/>
        </w:rPr>
        <w:t>understanding the mediating role of training motivation assumes particular significance.</w:t>
      </w:r>
    </w:p>
    <w:p>
      <w:pPr>
        <w:pStyle w:val="BodyText"/>
        <w:spacing w:line="290" w:lineRule="auto" w:before="103"/>
        <w:ind w:left="753" w:right="326" w:hanging="438"/>
        <w:jc w:val="both"/>
      </w:pPr>
      <w:r>
        <w:rPr>
          <w:color w:val="111313"/>
        </w:rPr>
        <w:t>H</w:t>
      </w:r>
      <w:r>
        <w:rPr>
          <w:color w:val="111313"/>
          <w:vertAlign w:val="subscript"/>
        </w:rPr>
        <w:t>1</w:t>
      </w:r>
      <w:r>
        <w:rPr>
          <w:color w:val="111313"/>
          <w:sz w:val="13"/>
          <w:vertAlign w:val="baseline"/>
        </w:rPr>
        <w:t>:</w:t>
      </w:r>
      <w:r>
        <w:rPr>
          <w:color w:val="111313"/>
          <w:spacing w:val="40"/>
          <w:sz w:val="13"/>
          <w:vertAlign w:val="baseline"/>
        </w:rPr>
        <w:t> </w:t>
      </w:r>
      <w:r>
        <w:rPr>
          <w:color w:val="111313"/>
          <w:vertAlign w:val="baseline"/>
        </w:rPr>
        <w:t>There is a significant relationship between training &amp; development and employee productivity the RMG industry of Bangladesh.</w:t>
      </w:r>
    </w:p>
    <w:p>
      <w:pPr>
        <w:pStyle w:val="ListParagraph"/>
        <w:numPr>
          <w:ilvl w:val="1"/>
          <w:numId w:val="1"/>
        </w:numPr>
        <w:tabs>
          <w:tab w:pos="634" w:val="left" w:leader="none"/>
        </w:tabs>
        <w:spacing w:line="240" w:lineRule="auto" w:before="98" w:after="0"/>
        <w:ind w:left="634" w:right="0" w:hanging="318"/>
        <w:jc w:val="both"/>
        <w:rPr>
          <w:i/>
          <w:color w:val="111313"/>
          <w:sz w:val="21"/>
        </w:rPr>
      </w:pPr>
      <w:r>
        <w:rPr>
          <w:i/>
          <w:color w:val="111313"/>
          <w:sz w:val="21"/>
        </w:rPr>
        <w:t>Training</w:t>
      </w:r>
      <w:r>
        <w:rPr>
          <w:i/>
          <w:color w:val="111313"/>
          <w:spacing w:val="7"/>
          <w:sz w:val="21"/>
        </w:rPr>
        <w:t> </w:t>
      </w:r>
      <w:r>
        <w:rPr>
          <w:i/>
          <w:color w:val="111313"/>
          <w:sz w:val="21"/>
        </w:rPr>
        <w:t>&amp;</w:t>
      </w:r>
      <w:r>
        <w:rPr>
          <w:i/>
          <w:color w:val="111313"/>
          <w:spacing w:val="-9"/>
          <w:sz w:val="21"/>
        </w:rPr>
        <w:t> </w:t>
      </w:r>
      <w:r>
        <w:rPr>
          <w:i/>
          <w:color w:val="111313"/>
          <w:sz w:val="21"/>
        </w:rPr>
        <w:t>Development</w:t>
      </w:r>
      <w:r>
        <w:rPr>
          <w:i/>
          <w:color w:val="111313"/>
          <w:spacing w:val="10"/>
          <w:sz w:val="21"/>
        </w:rPr>
        <w:t> </w:t>
      </w:r>
      <w:r>
        <w:rPr>
          <w:i/>
          <w:color w:val="111313"/>
          <w:sz w:val="21"/>
        </w:rPr>
        <w:t>and</w:t>
      </w:r>
      <w:r>
        <w:rPr>
          <w:i/>
          <w:color w:val="111313"/>
          <w:spacing w:val="10"/>
          <w:sz w:val="21"/>
        </w:rPr>
        <w:t> </w:t>
      </w:r>
      <w:r>
        <w:rPr>
          <w:i/>
          <w:color w:val="111313"/>
          <w:sz w:val="21"/>
        </w:rPr>
        <w:t>Training</w:t>
      </w:r>
      <w:r>
        <w:rPr>
          <w:i/>
          <w:color w:val="111313"/>
          <w:spacing w:val="6"/>
          <w:sz w:val="21"/>
        </w:rPr>
        <w:t> </w:t>
      </w:r>
      <w:r>
        <w:rPr>
          <w:i/>
          <w:color w:val="111313"/>
          <w:spacing w:val="-2"/>
          <w:sz w:val="21"/>
        </w:rPr>
        <w:t>Motivation</w:t>
      </w:r>
    </w:p>
    <w:p>
      <w:pPr>
        <w:pStyle w:val="BodyText"/>
        <w:spacing w:line="278" w:lineRule="auto" w:before="148"/>
        <w:ind w:left="317" w:right="312" w:firstLine="1"/>
        <w:jc w:val="both"/>
      </w:pPr>
      <w:r>
        <w:rPr>
          <w:color w:val="111313"/>
        </w:rPr>
        <w:t>Training and development (T&amp;D) initiatives play a pivotal role in enhancing employee skills, knowledge, and performance across various industries. In the context of the Readymade Garments (RMG) sector in Bangladesh</w:t>
      </w:r>
      <w:r>
        <w:rPr>
          <w:color w:val="3B3838"/>
        </w:rPr>
        <w:t>, </w:t>
      </w:r>
      <w:r>
        <w:rPr>
          <w:color w:val="111313"/>
        </w:rPr>
        <w:t>where competition is intense and technological advancements are rapidly evolving, the significance of effective T&amp;D programs cannot be </w:t>
      </w:r>
      <w:r>
        <w:rPr>
          <w:color w:val="111313"/>
          <w:spacing w:val="-2"/>
        </w:rPr>
        <w:t>overstated.</w:t>
      </w:r>
    </w:p>
    <w:p>
      <w:pPr>
        <w:pStyle w:val="BodyText"/>
        <w:spacing w:line="278" w:lineRule="auto" w:before="104"/>
        <w:ind w:left="316" w:right="309" w:firstLine="1"/>
        <w:jc w:val="both"/>
      </w:pPr>
      <w:r>
        <w:rPr>
          <w:color w:val="111313"/>
        </w:rPr>
        <w:t>Training motivation, defined</w:t>
      </w:r>
      <w:r>
        <w:rPr>
          <w:color w:val="111313"/>
          <w:spacing w:val="26"/>
        </w:rPr>
        <w:t> </w:t>
      </w:r>
      <w:r>
        <w:rPr>
          <w:color w:val="111313"/>
        </w:rPr>
        <w:t>as individuals' willingness, enthusiasm, and drive to participate</w:t>
      </w:r>
      <w:r>
        <w:rPr>
          <w:color w:val="111313"/>
          <w:spacing w:val="40"/>
        </w:rPr>
        <w:t> </w:t>
      </w:r>
      <w:r>
        <w:rPr>
          <w:color w:val="111313"/>
        </w:rPr>
        <w:t>in training programs, has emerged as a crucial determinant of the effectiveness of T&amp;D interventions (Colquitt et al., 2011). Motivated employees are more likely to actively engage with training materials, apply the acquired knowledge and skills in their roles, and ultimately contribute to organizational productivity (Alzahmi &amp; Al-Musadieq, 2019). Research suggests that various</w:t>
      </w:r>
      <w:r>
        <w:rPr>
          <w:color w:val="111313"/>
          <w:spacing w:val="40"/>
        </w:rPr>
        <w:t> </w:t>
      </w:r>
      <w:r>
        <w:rPr>
          <w:color w:val="111313"/>
        </w:rPr>
        <w:t>factors,</w:t>
      </w:r>
      <w:r>
        <w:rPr>
          <w:color w:val="111313"/>
          <w:spacing w:val="40"/>
        </w:rPr>
        <w:t> </w:t>
      </w:r>
      <w:r>
        <w:rPr>
          <w:color w:val="111313"/>
        </w:rPr>
        <w:t>such</w:t>
      </w:r>
      <w:r>
        <w:rPr>
          <w:color w:val="111313"/>
          <w:spacing w:val="40"/>
        </w:rPr>
        <w:t> </w:t>
      </w:r>
      <w:r>
        <w:rPr>
          <w:color w:val="111313"/>
        </w:rPr>
        <w:t>as</w:t>
      </w:r>
      <w:r>
        <w:rPr>
          <w:color w:val="111313"/>
          <w:spacing w:val="40"/>
        </w:rPr>
        <w:t> </w:t>
      </w:r>
      <w:r>
        <w:rPr>
          <w:color w:val="111313"/>
        </w:rPr>
        <w:t>perceived</w:t>
      </w:r>
      <w:r>
        <w:rPr>
          <w:color w:val="111313"/>
          <w:spacing w:val="40"/>
        </w:rPr>
        <w:t> </w:t>
      </w:r>
      <w:r>
        <w:rPr>
          <w:color w:val="111313"/>
        </w:rPr>
        <w:t>relevance</w:t>
      </w:r>
      <w:r>
        <w:rPr>
          <w:color w:val="111313"/>
          <w:spacing w:val="40"/>
        </w:rPr>
        <w:t> </w:t>
      </w:r>
      <w:r>
        <w:rPr>
          <w:color w:val="111313"/>
        </w:rPr>
        <w:t>of training</w:t>
      </w:r>
      <w:r>
        <w:rPr>
          <w:color w:val="3B3838"/>
        </w:rPr>
        <w:t>, </w:t>
      </w:r>
      <w:r>
        <w:rPr>
          <w:color w:val="111313"/>
        </w:rPr>
        <w:t>supervisor</w:t>
      </w:r>
      <w:r>
        <w:rPr>
          <w:color w:val="111313"/>
          <w:spacing w:val="40"/>
        </w:rPr>
        <w:t> </w:t>
      </w:r>
      <w:r>
        <w:rPr>
          <w:color w:val="111313"/>
        </w:rPr>
        <w:t>support</w:t>
      </w:r>
      <w:r>
        <w:rPr>
          <w:color w:val="3B3838"/>
        </w:rPr>
        <w:t>, </w:t>
      </w:r>
      <w:r>
        <w:rPr>
          <w:color w:val="111313"/>
        </w:rPr>
        <w:t>organizational</w:t>
      </w:r>
      <w:r>
        <w:rPr>
          <w:color w:val="111313"/>
          <w:spacing w:val="-6"/>
        </w:rPr>
        <w:t> </w:t>
      </w:r>
      <w:r>
        <w:rPr>
          <w:color w:val="111313"/>
        </w:rPr>
        <w:t>culture, and career advancement opportunities</w:t>
      </w:r>
      <w:r>
        <w:rPr>
          <w:color w:val="3B3838"/>
        </w:rPr>
        <w:t>,</w:t>
      </w:r>
      <w:r>
        <w:rPr>
          <w:color w:val="3B3838"/>
          <w:spacing w:val="-6"/>
        </w:rPr>
        <w:t> </w:t>
      </w:r>
      <w:r>
        <w:rPr>
          <w:color w:val="111313"/>
        </w:rPr>
        <w:t>significantly</w:t>
      </w:r>
      <w:r>
        <w:rPr>
          <w:color w:val="111313"/>
          <w:spacing w:val="30"/>
        </w:rPr>
        <w:t> </w:t>
      </w:r>
      <w:r>
        <w:rPr>
          <w:color w:val="111313"/>
        </w:rPr>
        <w:t>impact employees' motivation to participate in training programs (Alam &amp; Ahmed, 2018; Alzahmi &amp; Al-Musadieq, 2019). Additionally, individual characteristics </w:t>
      </w:r>
      <w:r>
        <w:rPr>
          <w:color w:val="242626"/>
        </w:rPr>
        <w:t>such </w:t>
      </w:r>
      <w:r>
        <w:rPr>
          <w:color w:val="111313"/>
        </w:rPr>
        <w:t>as self-efficacy, learning orientation, and job satisfaction play a crucial role in shaping employees' motivation towards training (Alzahmi &amp; Al-Musadieq, 2019).</w:t>
      </w:r>
    </w:p>
    <w:p>
      <w:pPr>
        <w:pStyle w:val="BodyText"/>
        <w:spacing w:line="290" w:lineRule="auto" w:before="110"/>
        <w:ind w:left="755" w:right="316" w:hanging="440"/>
        <w:jc w:val="both"/>
      </w:pPr>
      <w:r>
        <w:rPr>
          <w:color w:val="111313"/>
        </w:rPr>
        <w:t>H</w:t>
      </w:r>
      <w:r>
        <w:rPr>
          <w:color w:val="111313"/>
          <w:vertAlign w:val="subscript"/>
        </w:rPr>
        <w:t>2</w:t>
      </w:r>
      <w:r>
        <w:rPr>
          <w:color w:val="111313"/>
          <w:sz w:val="13"/>
          <w:vertAlign w:val="baseline"/>
        </w:rPr>
        <w:t>:</w:t>
      </w:r>
      <w:r>
        <w:rPr>
          <w:color w:val="111313"/>
          <w:spacing w:val="40"/>
          <w:sz w:val="13"/>
          <w:vertAlign w:val="baseline"/>
        </w:rPr>
        <w:t> </w:t>
      </w:r>
      <w:r>
        <w:rPr>
          <w:color w:val="111313"/>
          <w:vertAlign w:val="baseline"/>
        </w:rPr>
        <w:t>There is a significant relationship between training &amp; development and Training</w:t>
      </w:r>
      <w:r>
        <w:rPr>
          <w:color w:val="111313"/>
          <w:spacing w:val="40"/>
          <w:vertAlign w:val="baseline"/>
        </w:rPr>
        <w:t> </w:t>
      </w:r>
      <w:r>
        <w:rPr>
          <w:color w:val="111313"/>
          <w:vertAlign w:val="baseline"/>
        </w:rPr>
        <w:t>motivation in the garments sector of Bangladesh.</w:t>
      </w:r>
    </w:p>
    <w:p>
      <w:pPr>
        <w:pStyle w:val="BodyText"/>
      </w:pPr>
    </w:p>
    <w:p>
      <w:pPr>
        <w:pStyle w:val="BodyText"/>
      </w:pPr>
    </w:p>
    <w:p>
      <w:pPr>
        <w:pStyle w:val="BodyText"/>
      </w:pPr>
    </w:p>
    <w:p>
      <w:pPr>
        <w:pStyle w:val="BodyText"/>
        <w:spacing w:before="82"/>
      </w:pPr>
    </w:p>
    <w:p>
      <w:pPr>
        <w:spacing w:before="0"/>
        <w:ind w:left="854" w:right="823" w:firstLine="0"/>
        <w:jc w:val="center"/>
        <w:rPr>
          <w:sz w:val="17"/>
        </w:rPr>
      </w:pPr>
      <w:r>
        <w:rPr>
          <w:color w:val="3B3838"/>
          <w:spacing w:val="-5"/>
          <w:w w:val="105"/>
          <w:sz w:val="17"/>
        </w:rPr>
        <w:t>59</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60" w:id="4"/>
      <w:bookmarkEnd w:id="4"/>
      <w:r>
        <w:rPr/>
      </w:r>
      <w:r>
        <w:rPr>
          <w:i/>
          <w:color w:val="3B3838"/>
          <w:sz w:val="18"/>
        </w:rPr>
        <w:t>Mahbub</w:t>
      </w:r>
      <w:r>
        <w:rPr>
          <w:i/>
          <w:color w:val="565454"/>
          <w:sz w:val="18"/>
        </w:rPr>
        <w:t>/</w:t>
      </w:r>
      <w:r>
        <w:rPr>
          <w:i/>
          <w:color w:val="3B3838"/>
          <w:sz w:val="18"/>
        </w:rPr>
        <w:t>Comilla</w:t>
      </w:r>
      <w:r>
        <w:rPr>
          <w:i/>
          <w:color w:val="3B3838"/>
          <w:spacing w:val="-12"/>
          <w:sz w:val="18"/>
        </w:rPr>
        <w:t> </w:t>
      </w:r>
      <w:r>
        <w:rPr>
          <w:i/>
          <w:color w:val="3B3838"/>
          <w:sz w:val="18"/>
        </w:rPr>
        <w:t>Un</w:t>
      </w:r>
      <w:r>
        <w:rPr>
          <w:i/>
          <w:color w:val="111313"/>
          <w:sz w:val="18"/>
        </w:rPr>
        <w:t>i</w:t>
      </w:r>
      <w:r>
        <w:rPr>
          <w:i/>
          <w:color w:val="3B3838"/>
          <w:sz w:val="18"/>
        </w:rPr>
        <w:t>versity</w:t>
      </w:r>
      <w:r>
        <w:rPr>
          <w:i/>
          <w:color w:val="3B3838"/>
          <w:spacing w:val="-11"/>
          <w:sz w:val="18"/>
        </w:rPr>
        <w:t> </w:t>
      </w:r>
      <w:r>
        <w:rPr>
          <w:i/>
          <w:color w:val="3B3838"/>
          <w:sz w:val="18"/>
        </w:rPr>
        <w:t>Journal</w:t>
      </w:r>
      <w:r>
        <w:rPr>
          <w:i/>
          <w:color w:val="3B3838"/>
          <w:spacing w:val="-3"/>
          <w:sz w:val="18"/>
        </w:rPr>
        <w:t> </w:t>
      </w:r>
      <w:r>
        <w:rPr>
          <w:i/>
          <w:color w:val="3B3838"/>
          <w:sz w:val="18"/>
        </w:rPr>
        <w:t>of</w:t>
      </w:r>
      <w:r>
        <w:rPr>
          <w:i/>
          <w:color w:val="3B3838"/>
          <w:spacing w:val="-4"/>
          <w:sz w:val="18"/>
        </w:rPr>
        <w:t> </w:t>
      </w:r>
      <w:r>
        <w:rPr>
          <w:i/>
          <w:color w:val="3B3838"/>
          <w:sz w:val="18"/>
        </w:rPr>
        <w:t>Business</w:t>
      </w:r>
      <w:r>
        <w:rPr>
          <w:i/>
          <w:color w:val="3B3838"/>
          <w:spacing w:val="-1"/>
          <w:sz w:val="18"/>
        </w:rPr>
        <w:t> </w:t>
      </w:r>
      <w:r>
        <w:rPr>
          <w:i/>
          <w:color w:val="3B3838"/>
          <w:sz w:val="18"/>
        </w:rPr>
        <w:t>Studies</w:t>
      </w:r>
      <w:r>
        <w:rPr>
          <w:i/>
          <w:color w:val="3B3838"/>
          <w:spacing w:val="53"/>
          <w:sz w:val="18"/>
        </w:rPr>
        <w:t> </w:t>
      </w:r>
      <w:r>
        <w:rPr>
          <w:i/>
          <w:color w:val="111313"/>
          <w:sz w:val="18"/>
        </w:rPr>
        <w:t>IO</w:t>
      </w:r>
      <w:r>
        <w:rPr>
          <w:i/>
          <w:color w:val="111313"/>
          <w:spacing w:val="-11"/>
          <w:sz w:val="18"/>
        </w:rPr>
        <w:t> </w:t>
      </w:r>
      <w:r>
        <w:rPr>
          <w:i/>
          <w:color w:val="3B3838"/>
          <w:sz w:val="18"/>
        </w:rPr>
        <w:t>(2023)</w:t>
      </w:r>
      <w:r>
        <w:rPr>
          <w:i/>
          <w:color w:val="3B3838"/>
          <w:spacing w:val="-7"/>
          <w:sz w:val="18"/>
        </w:rPr>
        <w:t> </w:t>
      </w:r>
      <w:r>
        <w:rPr>
          <w:i/>
          <w:color w:val="3B3838"/>
          <w:sz w:val="18"/>
        </w:rPr>
        <w:t>5</w:t>
      </w:r>
      <w:r>
        <w:rPr>
          <w:color w:val="3B3838"/>
          <w:sz w:val="17"/>
        </w:rPr>
        <w:t>7</w:t>
      </w:r>
      <w:r>
        <w:rPr>
          <w:color w:val="111313"/>
          <w:sz w:val="17"/>
        </w:rPr>
        <w:t>-</w:t>
      </w:r>
      <w:r>
        <w:rPr>
          <w:i/>
          <w:color w:val="3B3838"/>
          <w:spacing w:val="-7"/>
          <w:sz w:val="18"/>
        </w:rPr>
        <w:t>77</w:t>
      </w:r>
    </w:p>
    <w:p>
      <w:pPr>
        <w:pStyle w:val="BodyText"/>
        <w:spacing w:before="149"/>
        <w:rPr>
          <w:i/>
          <w:sz w:val="18"/>
        </w:rPr>
      </w:pPr>
    </w:p>
    <w:p>
      <w:pPr>
        <w:pStyle w:val="ListParagraph"/>
        <w:numPr>
          <w:ilvl w:val="1"/>
          <w:numId w:val="1"/>
        </w:numPr>
        <w:tabs>
          <w:tab w:pos="634" w:val="left" w:leader="none"/>
        </w:tabs>
        <w:spacing w:line="240" w:lineRule="auto" w:before="0" w:after="0"/>
        <w:ind w:left="634" w:right="0" w:hanging="318"/>
        <w:jc w:val="both"/>
        <w:rPr>
          <w:i/>
          <w:color w:val="111313"/>
          <w:sz w:val="21"/>
        </w:rPr>
      </w:pPr>
      <w:r>
        <w:rPr>
          <w:i/>
          <w:color w:val="111313"/>
          <w:sz w:val="21"/>
        </w:rPr>
        <w:t>Training Motivation</w:t>
      </w:r>
      <w:r>
        <w:rPr>
          <w:i/>
          <w:color w:val="111313"/>
          <w:spacing w:val="6"/>
          <w:sz w:val="21"/>
        </w:rPr>
        <w:t> </w:t>
      </w:r>
      <w:r>
        <w:rPr>
          <w:i/>
          <w:color w:val="111313"/>
          <w:sz w:val="21"/>
        </w:rPr>
        <w:t>and</w:t>
      </w:r>
      <w:r>
        <w:rPr>
          <w:i/>
          <w:color w:val="111313"/>
          <w:spacing w:val="12"/>
          <w:sz w:val="21"/>
        </w:rPr>
        <w:t> </w:t>
      </w:r>
      <w:r>
        <w:rPr>
          <w:i/>
          <w:color w:val="111313"/>
          <w:sz w:val="21"/>
        </w:rPr>
        <w:t>Employee</w:t>
      </w:r>
      <w:r>
        <w:rPr>
          <w:i/>
          <w:color w:val="111313"/>
          <w:spacing w:val="8"/>
          <w:sz w:val="21"/>
        </w:rPr>
        <w:t> </w:t>
      </w:r>
      <w:r>
        <w:rPr>
          <w:i/>
          <w:color w:val="111313"/>
          <w:spacing w:val="-2"/>
          <w:sz w:val="21"/>
        </w:rPr>
        <w:t>Productivity</w:t>
      </w:r>
    </w:p>
    <w:p>
      <w:pPr>
        <w:pStyle w:val="BodyText"/>
        <w:spacing w:line="278" w:lineRule="auto" w:before="148"/>
        <w:ind w:left="315" w:right="302" w:hanging="2"/>
        <w:jc w:val="both"/>
      </w:pPr>
      <w:r>
        <w:rPr>
          <w:color w:val="111313"/>
        </w:rPr>
        <w:t>In the Readymade Garments (RMG) sector of Bangladesh, the relationship between training motivation and </w:t>
      </w:r>
      <w:r>
        <w:rPr>
          <w:color w:val="212323"/>
        </w:rPr>
        <w:t>employee </w:t>
      </w:r>
      <w:r>
        <w:rPr>
          <w:color w:val="111313"/>
        </w:rPr>
        <w:t>productivity holds significant implications for organizational performance. Training motivation, defined as individuals' willingness,</w:t>
      </w:r>
      <w:r>
        <w:rPr>
          <w:color w:val="111313"/>
          <w:spacing w:val="28"/>
        </w:rPr>
        <w:t> </w:t>
      </w:r>
      <w:r>
        <w:rPr>
          <w:color w:val="111313"/>
        </w:rPr>
        <w:t>enthusiasm, and drive</w:t>
      </w:r>
      <w:r>
        <w:rPr>
          <w:color w:val="111313"/>
          <w:spacing w:val="40"/>
        </w:rPr>
        <w:t> </w:t>
      </w:r>
      <w:r>
        <w:rPr>
          <w:color w:val="111313"/>
        </w:rPr>
        <w:t>to engage in training activities, plays a crucial role in</w:t>
      </w:r>
      <w:r>
        <w:rPr>
          <w:color w:val="111313"/>
          <w:spacing w:val="-4"/>
        </w:rPr>
        <w:t> </w:t>
      </w:r>
      <w:r>
        <w:rPr>
          <w:color w:val="111313"/>
        </w:rPr>
        <w:t>shaping employees' readiness to acquire new skills and knowledge, ultimately influencing their productivity levels (Alzahmi &amp; Al-Musadieq, 2019).</w:t>
      </w:r>
    </w:p>
    <w:p>
      <w:pPr>
        <w:pStyle w:val="BodyText"/>
        <w:spacing w:line="278" w:lineRule="auto" w:before="102"/>
        <w:ind w:left="315" w:right="309"/>
        <w:jc w:val="both"/>
      </w:pPr>
      <w:r>
        <w:rPr>
          <w:color w:val="111313"/>
        </w:rPr>
        <w:t>Research suggests that motivated employees are more likely to actively participate in training programs</w:t>
      </w:r>
      <w:r>
        <w:rPr>
          <w:color w:val="3B3838"/>
        </w:rPr>
        <w:t>, </w:t>
      </w:r>
      <w:r>
        <w:rPr>
          <w:color w:val="111313"/>
        </w:rPr>
        <w:t>demonstrate</w:t>
      </w:r>
      <w:r>
        <w:rPr>
          <w:color w:val="111313"/>
          <w:spacing w:val="40"/>
        </w:rPr>
        <w:t> </w:t>
      </w:r>
      <w:r>
        <w:rPr>
          <w:color w:val="111313"/>
        </w:rPr>
        <w:t>higher levels of engagement</w:t>
      </w:r>
      <w:r>
        <w:rPr>
          <w:color w:val="111313"/>
          <w:spacing w:val="40"/>
        </w:rPr>
        <w:t> </w:t>
      </w:r>
      <w:r>
        <w:rPr>
          <w:color w:val="111313"/>
        </w:rPr>
        <w:t>with</w:t>
      </w:r>
      <w:r>
        <w:rPr>
          <w:color w:val="111313"/>
          <w:spacing w:val="40"/>
        </w:rPr>
        <w:t> </w:t>
      </w:r>
      <w:r>
        <w:rPr>
          <w:color w:val="111313"/>
        </w:rPr>
        <w:t>training materials</w:t>
      </w:r>
      <w:r>
        <w:rPr>
          <w:color w:val="3B3838"/>
        </w:rPr>
        <w:t>, </w:t>
      </w:r>
      <w:r>
        <w:rPr>
          <w:color w:val="111313"/>
        </w:rPr>
        <w:t>and exhibit greater enthusiasm for applying newly acquired competencies in their work roles (Alzahmi &amp; Al-Musadieq,</w:t>
      </w:r>
      <w:r>
        <w:rPr>
          <w:color w:val="111313"/>
          <w:spacing w:val="40"/>
        </w:rPr>
        <w:t> </w:t>
      </w:r>
      <w:r>
        <w:rPr>
          <w:color w:val="111313"/>
        </w:rPr>
        <w:t>2019).</w:t>
      </w:r>
      <w:r>
        <w:rPr>
          <w:color w:val="111313"/>
          <w:spacing w:val="40"/>
        </w:rPr>
        <w:t> </w:t>
      </w:r>
      <w:r>
        <w:rPr>
          <w:color w:val="111313"/>
        </w:rPr>
        <w:t>Various</w:t>
      </w:r>
      <w:r>
        <w:rPr>
          <w:color w:val="111313"/>
          <w:spacing w:val="40"/>
        </w:rPr>
        <w:t> </w:t>
      </w:r>
      <w:r>
        <w:rPr>
          <w:color w:val="111313"/>
        </w:rPr>
        <w:t>factors</w:t>
      </w:r>
      <w:r>
        <w:rPr>
          <w:color w:val="111313"/>
          <w:spacing w:val="40"/>
        </w:rPr>
        <w:t> </w:t>
      </w:r>
      <w:r>
        <w:rPr>
          <w:color w:val="111313"/>
        </w:rPr>
        <w:t>contribute</w:t>
      </w:r>
      <w:r>
        <w:rPr>
          <w:color w:val="111313"/>
          <w:spacing w:val="40"/>
        </w:rPr>
        <w:t> </w:t>
      </w:r>
      <w:r>
        <w:rPr>
          <w:color w:val="111313"/>
        </w:rPr>
        <w:t>to employees'</w:t>
      </w:r>
      <w:r>
        <w:rPr>
          <w:color w:val="111313"/>
          <w:spacing w:val="40"/>
        </w:rPr>
        <w:t> </w:t>
      </w:r>
      <w:r>
        <w:rPr>
          <w:color w:val="111313"/>
        </w:rPr>
        <w:t>motivation</w:t>
      </w:r>
      <w:r>
        <w:rPr>
          <w:color w:val="111313"/>
          <w:spacing w:val="40"/>
        </w:rPr>
        <w:t> </w:t>
      </w:r>
      <w:r>
        <w:rPr>
          <w:color w:val="111313"/>
        </w:rPr>
        <w:t>to engage</w:t>
      </w:r>
      <w:r>
        <w:rPr>
          <w:color w:val="111313"/>
          <w:spacing w:val="40"/>
        </w:rPr>
        <w:t> </w:t>
      </w:r>
      <w:r>
        <w:rPr>
          <w:color w:val="111313"/>
        </w:rPr>
        <w:t>in training activities within the RMG sector. For instance, the perceived relevance of training programs to employees' job roles, career advancement opportunities, and the alignment of training objectives with organizational goals can positively influence training motivation</w:t>
      </w:r>
      <w:r>
        <w:rPr>
          <w:color w:val="111313"/>
          <w:spacing w:val="40"/>
        </w:rPr>
        <w:t> </w:t>
      </w:r>
      <w:r>
        <w:rPr>
          <w:color w:val="111313"/>
        </w:rPr>
        <w:t>(Alam &amp; Ahmed, 2018). Additionally, supportive organizational culture, supervisor encouragement, and the provision of adequate resources for training can enhance employees' motivation to participate in developmental</w:t>
      </w:r>
      <w:r>
        <w:rPr>
          <w:color w:val="111313"/>
          <w:spacing w:val="40"/>
        </w:rPr>
        <w:t> </w:t>
      </w:r>
      <w:r>
        <w:rPr>
          <w:color w:val="111313"/>
        </w:rPr>
        <w:t>initiatives (Alam &amp; Ahmed, 2018).</w:t>
      </w:r>
    </w:p>
    <w:p>
      <w:pPr>
        <w:pStyle w:val="BodyText"/>
        <w:spacing w:line="278" w:lineRule="auto" w:before="112"/>
        <w:ind w:left="314" w:right="310" w:firstLine="2"/>
        <w:jc w:val="both"/>
      </w:pPr>
      <w:r>
        <w:rPr>
          <w:color w:val="111313"/>
        </w:rPr>
        <w:t>Moreover, individual characteristics such as self-efficacy, learning orientation, and job satisfaction significantly impact employees' motivation towards training (Alzahmi &amp; Al-Musadieq</w:t>
      </w:r>
      <w:r>
        <w:rPr>
          <w:color w:val="3B3838"/>
        </w:rPr>
        <w:t>, </w:t>
      </w:r>
      <w:r>
        <w:rPr>
          <w:color w:val="111313"/>
        </w:rPr>
        <w:t>2019). Employees</w:t>
      </w:r>
      <w:r>
        <w:rPr>
          <w:color w:val="111313"/>
          <w:spacing w:val="40"/>
        </w:rPr>
        <w:t> </w:t>
      </w:r>
      <w:r>
        <w:rPr>
          <w:color w:val="111313"/>
        </w:rPr>
        <w:t>who possess</w:t>
      </w:r>
      <w:r>
        <w:rPr>
          <w:color w:val="111313"/>
          <w:spacing w:val="34"/>
        </w:rPr>
        <w:t> </w:t>
      </w:r>
      <w:r>
        <w:rPr>
          <w:color w:val="111313"/>
        </w:rPr>
        <w:t>a strong belief in their ability to learn and apply new skills, coupled</w:t>
      </w:r>
      <w:r>
        <w:rPr>
          <w:color w:val="111313"/>
          <w:spacing w:val="24"/>
        </w:rPr>
        <w:t> </w:t>
      </w:r>
      <w:r>
        <w:rPr>
          <w:color w:val="111313"/>
        </w:rPr>
        <w:t>with </w:t>
      </w:r>
      <w:r>
        <w:rPr>
          <w:color w:val="212323"/>
        </w:rPr>
        <w:t>a </w:t>
      </w:r>
      <w:r>
        <w:rPr>
          <w:color w:val="111313"/>
        </w:rPr>
        <w:t>positive attitude towards continuous development,</w:t>
      </w:r>
      <w:r>
        <w:rPr>
          <w:color w:val="111313"/>
          <w:spacing w:val="23"/>
        </w:rPr>
        <w:t> </w:t>
      </w:r>
      <w:r>
        <w:rPr>
          <w:color w:val="111313"/>
        </w:rPr>
        <w:t>are more likely</w:t>
      </w:r>
      <w:r>
        <w:rPr>
          <w:color w:val="111313"/>
          <w:spacing w:val="40"/>
        </w:rPr>
        <w:t> </w:t>
      </w:r>
      <w:r>
        <w:rPr>
          <w:color w:val="111313"/>
        </w:rPr>
        <w:t>to exhibit higher levels of training motivation and subsequently, enhanced productivity (Alzahmi &amp; Al-Musadieq, 2019).</w:t>
      </w:r>
    </w:p>
    <w:p>
      <w:pPr>
        <w:pStyle w:val="BodyText"/>
        <w:spacing w:line="285" w:lineRule="auto" w:before="102"/>
        <w:ind w:left="753" w:right="321" w:hanging="438"/>
        <w:jc w:val="both"/>
      </w:pPr>
      <w:r>
        <w:rPr>
          <w:color w:val="111313"/>
        </w:rPr>
        <w:t>H</w:t>
      </w:r>
      <w:r>
        <w:rPr>
          <w:color w:val="111313"/>
          <w:vertAlign w:val="subscript"/>
        </w:rPr>
        <w:t>3</w:t>
      </w:r>
      <w:r>
        <w:rPr>
          <w:color w:val="111313"/>
          <w:sz w:val="14"/>
          <w:vertAlign w:val="baseline"/>
        </w:rPr>
        <w:t>:</w:t>
      </w:r>
      <w:r>
        <w:rPr>
          <w:color w:val="111313"/>
          <w:spacing w:val="40"/>
          <w:sz w:val="14"/>
          <w:vertAlign w:val="baseline"/>
        </w:rPr>
        <w:t> </w:t>
      </w:r>
      <w:r>
        <w:rPr>
          <w:color w:val="111313"/>
          <w:vertAlign w:val="baseline"/>
        </w:rPr>
        <w:t>There</w:t>
      </w:r>
      <w:r>
        <w:rPr>
          <w:color w:val="111313"/>
          <w:spacing w:val="40"/>
          <w:vertAlign w:val="baseline"/>
        </w:rPr>
        <w:t> </w:t>
      </w:r>
      <w:r>
        <w:rPr>
          <w:color w:val="111313"/>
          <w:vertAlign w:val="baseline"/>
        </w:rPr>
        <w:t>is a </w:t>
      </w:r>
      <w:r>
        <w:rPr>
          <w:color w:val="212323"/>
          <w:vertAlign w:val="baseline"/>
        </w:rPr>
        <w:t>significant</w:t>
      </w:r>
      <w:r>
        <w:rPr>
          <w:color w:val="212323"/>
          <w:spacing w:val="40"/>
          <w:vertAlign w:val="baseline"/>
        </w:rPr>
        <w:t> </w:t>
      </w:r>
      <w:r>
        <w:rPr>
          <w:color w:val="111313"/>
          <w:vertAlign w:val="baseline"/>
        </w:rPr>
        <w:t>relationship</w:t>
      </w:r>
      <w:r>
        <w:rPr>
          <w:color w:val="111313"/>
          <w:spacing w:val="40"/>
          <w:vertAlign w:val="baseline"/>
        </w:rPr>
        <w:t> </w:t>
      </w:r>
      <w:r>
        <w:rPr>
          <w:color w:val="111313"/>
          <w:vertAlign w:val="baseline"/>
        </w:rPr>
        <w:t>between Training</w:t>
      </w:r>
      <w:r>
        <w:rPr>
          <w:color w:val="111313"/>
          <w:spacing w:val="40"/>
          <w:vertAlign w:val="baseline"/>
        </w:rPr>
        <w:t> </w:t>
      </w:r>
      <w:r>
        <w:rPr>
          <w:color w:val="111313"/>
          <w:vertAlign w:val="baseline"/>
        </w:rPr>
        <w:t>motivation</w:t>
      </w:r>
      <w:r>
        <w:rPr>
          <w:color w:val="111313"/>
          <w:spacing w:val="40"/>
          <w:vertAlign w:val="baseline"/>
        </w:rPr>
        <w:t> </w:t>
      </w:r>
      <w:r>
        <w:rPr>
          <w:color w:val="212323"/>
          <w:vertAlign w:val="baseline"/>
        </w:rPr>
        <w:t>and</w:t>
      </w:r>
      <w:r>
        <w:rPr>
          <w:color w:val="212323"/>
          <w:spacing w:val="40"/>
          <w:vertAlign w:val="baseline"/>
        </w:rPr>
        <w:t> </w:t>
      </w:r>
      <w:r>
        <w:rPr>
          <w:color w:val="111313"/>
          <w:vertAlign w:val="baseline"/>
        </w:rPr>
        <w:t>employee </w:t>
      </w:r>
      <w:r>
        <w:rPr>
          <w:color w:val="111313"/>
          <w:spacing w:val="-2"/>
          <w:vertAlign w:val="baseline"/>
        </w:rPr>
        <w:t>productivity.</w:t>
      </w:r>
    </w:p>
    <w:p>
      <w:pPr>
        <w:pStyle w:val="ListParagraph"/>
        <w:numPr>
          <w:ilvl w:val="1"/>
          <w:numId w:val="1"/>
        </w:numPr>
        <w:tabs>
          <w:tab w:pos="682" w:val="left" w:leader="none"/>
        </w:tabs>
        <w:spacing w:line="290" w:lineRule="auto" w:before="108" w:after="0"/>
        <w:ind w:left="314" w:right="325" w:firstLine="1"/>
        <w:jc w:val="both"/>
        <w:rPr>
          <w:i/>
          <w:color w:val="111313"/>
          <w:sz w:val="21"/>
        </w:rPr>
      </w:pPr>
      <w:r>
        <w:rPr>
          <w:i/>
          <w:color w:val="111313"/>
          <w:sz w:val="21"/>
        </w:rPr>
        <w:t>Training Motivation Mediate the Relationship between Training &amp; Development and</w:t>
      </w:r>
      <w:r>
        <w:rPr>
          <w:i/>
          <w:color w:val="111313"/>
          <w:sz w:val="21"/>
        </w:rPr>
        <w:t> Employee Productivity</w:t>
      </w:r>
    </w:p>
    <w:p>
      <w:pPr>
        <w:pStyle w:val="BodyText"/>
        <w:spacing w:line="278" w:lineRule="auto" w:before="98"/>
        <w:ind w:left="316" w:right="302" w:hanging="4"/>
        <w:jc w:val="both"/>
      </w:pPr>
      <w:r>
        <w:rPr>
          <w:color w:val="111313"/>
        </w:rPr>
        <w:t>The Readymade Garments (RMG) sector in Bangladesh stands as </w:t>
      </w:r>
      <w:r>
        <w:rPr>
          <w:color w:val="212323"/>
        </w:rPr>
        <w:t>a </w:t>
      </w:r>
      <w:r>
        <w:rPr>
          <w:color w:val="111313"/>
        </w:rPr>
        <w:t>vital contributor to the nation's </w:t>
      </w:r>
      <w:r>
        <w:rPr>
          <w:color w:val="212323"/>
        </w:rPr>
        <w:t>economy</w:t>
      </w:r>
      <w:r>
        <w:rPr>
          <w:color w:val="3B3838"/>
        </w:rPr>
        <w:t>,</w:t>
      </w:r>
      <w:r>
        <w:rPr>
          <w:color w:val="3B3838"/>
          <w:spacing w:val="-1"/>
        </w:rPr>
        <w:t> </w:t>
      </w:r>
      <w:r>
        <w:rPr>
          <w:color w:val="111313"/>
        </w:rPr>
        <w:t>relying heavily on its workforce for</w:t>
      </w:r>
      <w:r>
        <w:rPr>
          <w:color w:val="111313"/>
          <w:spacing w:val="-1"/>
        </w:rPr>
        <w:t> </w:t>
      </w:r>
      <w:r>
        <w:rPr>
          <w:color w:val="111313"/>
        </w:rPr>
        <w:t>sustained growth and competitiveness. Within this context, the relationship between training and development (T&amp;D) initiatives, training motivation, and employee productivity holds significant importance. Training motivation, characterized by individuals' willingness, </w:t>
      </w:r>
      <w:r>
        <w:rPr>
          <w:color w:val="212323"/>
        </w:rPr>
        <w:t>enthusiasm, </w:t>
      </w:r>
      <w:r>
        <w:rPr>
          <w:color w:val="111313"/>
        </w:rPr>
        <w:t>and drive to engage in training activities, plays a pivotal role in mediating the impact of T&amp;D interventions on </w:t>
      </w:r>
      <w:r>
        <w:rPr>
          <w:color w:val="212323"/>
        </w:rPr>
        <w:t>employee </w:t>
      </w:r>
      <w:r>
        <w:rPr>
          <w:color w:val="111313"/>
        </w:rPr>
        <w:t>productivity (Alzahmi &amp; Al-Musadieq</w:t>
      </w:r>
      <w:r>
        <w:rPr>
          <w:color w:val="3B3838"/>
        </w:rPr>
        <w:t>, </w:t>
      </w:r>
      <w:r>
        <w:rPr>
          <w:color w:val="111313"/>
        </w:rPr>
        <w:t>2019).</w:t>
      </w:r>
    </w:p>
    <w:p>
      <w:pPr>
        <w:pStyle w:val="BodyText"/>
        <w:spacing w:line="280" w:lineRule="auto" w:before="101"/>
        <w:ind w:left="316" w:right="318" w:hanging="3"/>
        <w:jc w:val="both"/>
      </w:pPr>
      <w:r>
        <w:rPr>
          <w:color w:val="111313"/>
        </w:rPr>
        <w:t>Training and development programs are widely recognized as essential mechanisms for enhancing employee</w:t>
      </w:r>
      <w:r>
        <w:rPr>
          <w:color w:val="111313"/>
          <w:spacing w:val="40"/>
        </w:rPr>
        <w:t> </w:t>
      </w:r>
      <w:r>
        <w:rPr>
          <w:color w:val="212323"/>
        </w:rPr>
        <w:t>skills, </w:t>
      </w:r>
      <w:r>
        <w:rPr>
          <w:color w:val="111313"/>
        </w:rPr>
        <w:t>knowledge,</w:t>
      </w:r>
      <w:r>
        <w:rPr>
          <w:color w:val="111313"/>
          <w:spacing w:val="40"/>
        </w:rPr>
        <w:t> </w:t>
      </w:r>
      <w:r>
        <w:rPr>
          <w:color w:val="111313"/>
        </w:rPr>
        <w:t>and performance</w:t>
      </w:r>
      <w:r>
        <w:rPr>
          <w:color w:val="111313"/>
          <w:spacing w:val="40"/>
        </w:rPr>
        <w:t> </w:t>
      </w:r>
      <w:r>
        <w:rPr>
          <w:color w:val="111313"/>
        </w:rPr>
        <w:t>(Alam &amp; Ahmed, 2018). In the RMG sector of</w:t>
      </w:r>
      <w:r>
        <w:rPr>
          <w:color w:val="111313"/>
          <w:spacing w:val="-3"/>
        </w:rPr>
        <w:t> </w:t>
      </w:r>
      <w:r>
        <w:rPr>
          <w:color w:val="111313"/>
        </w:rPr>
        <w:t>Bangladesh,</w:t>
      </w:r>
      <w:r>
        <w:rPr>
          <w:color w:val="111313"/>
          <w:spacing w:val="20"/>
        </w:rPr>
        <w:t> </w:t>
      </w:r>
      <w:r>
        <w:rPr>
          <w:color w:val="111313"/>
        </w:rPr>
        <w:t>where workforce development</w:t>
      </w:r>
      <w:r>
        <w:rPr>
          <w:color w:val="111313"/>
          <w:spacing w:val="26"/>
        </w:rPr>
        <w:t> </w:t>
      </w:r>
      <w:r>
        <w:rPr>
          <w:color w:val="111313"/>
        </w:rPr>
        <w:t>is crucial for adapting to </w:t>
      </w:r>
      <w:r>
        <w:rPr>
          <w:color w:val="212323"/>
        </w:rPr>
        <w:t>evolving</w:t>
      </w:r>
    </w:p>
    <w:p>
      <w:pPr>
        <w:pStyle w:val="BodyText"/>
      </w:pPr>
    </w:p>
    <w:p>
      <w:pPr>
        <w:pStyle w:val="BodyText"/>
      </w:pPr>
    </w:p>
    <w:p>
      <w:pPr>
        <w:pStyle w:val="BodyText"/>
        <w:spacing w:before="128"/>
      </w:pPr>
    </w:p>
    <w:p>
      <w:pPr>
        <w:spacing w:before="0"/>
        <w:ind w:left="857" w:right="823" w:firstLine="0"/>
        <w:jc w:val="center"/>
        <w:rPr>
          <w:sz w:val="17"/>
        </w:rPr>
      </w:pPr>
      <w:r>
        <w:rPr>
          <w:color w:val="3B3838"/>
          <w:spacing w:val="-5"/>
          <w:w w:val="110"/>
          <w:sz w:val="17"/>
        </w:rPr>
        <w:t>60</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61" w:id="5"/>
      <w:bookmarkEnd w:id="5"/>
      <w:r>
        <w:rPr/>
      </w:r>
      <w:r>
        <w:rPr>
          <w:i/>
          <w:color w:val="3B3838"/>
          <w:sz w:val="18"/>
        </w:rPr>
        <w:t>Mahbub</w:t>
      </w:r>
      <w:r>
        <w:rPr>
          <w:i/>
          <w:color w:val="565454"/>
          <w:sz w:val="18"/>
        </w:rPr>
        <w:t>/</w:t>
      </w:r>
      <w:r>
        <w:rPr>
          <w:i/>
          <w:color w:val="3B3838"/>
          <w:sz w:val="18"/>
        </w:rPr>
        <w:t>Comilla</w:t>
      </w:r>
      <w:r>
        <w:rPr>
          <w:i/>
          <w:color w:val="3B3838"/>
          <w:spacing w:val="-12"/>
          <w:sz w:val="18"/>
        </w:rPr>
        <w:t> </w:t>
      </w:r>
      <w:r>
        <w:rPr>
          <w:i/>
          <w:color w:val="3B3838"/>
          <w:sz w:val="18"/>
        </w:rPr>
        <w:t>Un</w:t>
      </w:r>
      <w:r>
        <w:rPr>
          <w:i/>
          <w:color w:val="111313"/>
          <w:sz w:val="18"/>
        </w:rPr>
        <w:t>i</w:t>
      </w:r>
      <w:r>
        <w:rPr>
          <w:i/>
          <w:color w:val="3B3838"/>
          <w:sz w:val="18"/>
        </w:rPr>
        <w:t>versity</w:t>
      </w:r>
      <w:r>
        <w:rPr>
          <w:i/>
          <w:color w:val="3B3838"/>
          <w:spacing w:val="-11"/>
          <w:sz w:val="18"/>
        </w:rPr>
        <w:t> </w:t>
      </w:r>
      <w:r>
        <w:rPr>
          <w:i/>
          <w:color w:val="3B3838"/>
          <w:sz w:val="18"/>
        </w:rPr>
        <w:t>Journal</w:t>
      </w:r>
      <w:r>
        <w:rPr>
          <w:i/>
          <w:color w:val="3B3838"/>
          <w:spacing w:val="-3"/>
          <w:sz w:val="18"/>
        </w:rPr>
        <w:t> </w:t>
      </w:r>
      <w:r>
        <w:rPr>
          <w:i/>
          <w:color w:val="3B3838"/>
          <w:sz w:val="18"/>
        </w:rPr>
        <w:t>of</w:t>
      </w:r>
      <w:r>
        <w:rPr>
          <w:i/>
          <w:color w:val="3B3838"/>
          <w:spacing w:val="-4"/>
          <w:sz w:val="18"/>
        </w:rPr>
        <w:t> </w:t>
      </w:r>
      <w:r>
        <w:rPr>
          <w:i/>
          <w:color w:val="3B3838"/>
          <w:sz w:val="18"/>
        </w:rPr>
        <w:t>Business</w:t>
      </w:r>
      <w:r>
        <w:rPr>
          <w:i/>
          <w:color w:val="3B3838"/>
          <w:spacing w:val="-1"/>
          <w:sz w:val="18"/>
        </w:rPr>
        <w:t> </w:t>
      </w:r>
      <w:r>
        <w:rPr>
          <w:i/>
          <w:color w:val="3B3838"/>
          <w:sz w:val="18"/>
        </w:rPr>
        <w:t>Studies</w:t>
      </w:r>
      <w:r>
        <w:rPr>
          <w:i/>
          <w:color w:val="3B3838"/>
          <w:spacing w:val="53"/>
          <w:sz w:val="18"/>
        </w:rPr>
        <w:t> </w:t>
      </w:r>
      <w:r>
        <w:rPr>
          <w:i/>
          <w:color w:val="111313"/>
          <w:sz w:val="18"/>
        </w:rPr>
        <w:t>IO</w:t>
      </w:r>
      <w:r>
        <w:rPr>
          <w:i/>
          <w:color w:val="111313"/>
          <w:spacing w:val="-11"/>
          <w:sz w:val="18"/>
        </w:rPr>
        <w:t> </w:t>
      </w:r>
      <w:r>
        <w:rPr>
          <w:i/>
          <w:color w:val="3B3838"/>
          <w:sz w:val="18"/>
        </w:rPr>
        <w:t>(2023)</w:t>
      </w:r>
      <w:r>
        <w:rPr>
          <w:i/>
          <w:color w:val="3B3838"/>
          <w:spacing w:val="-7"/>
          <w:sz w:val="18"/>
        </w:rPr>
        <w:t> </w:t>
      </w:r>
      <w:r>
        <w:rPr>
          <w:i/>
          <w:color w:val="3B3838"/>
          <w:sz w:val="18"/>
        </w:rPr>
        <w:t>5</w:t>
      </w:r>
      <w:r>
        <w:rPr>
          <w:color w:val="3B3838"/>
          <w:sz w:val="17"/>
        </w:rPr>
        <w:t>7</w:t>
      </w:r>
      <w:r>
        <w:rPr>
          <w:color w:val="111313"/>
          <w:sz w:val="17"/>
        </w:rPr>
        <w:t>-</w:t>
      </w:r>
      <w:r>
        <w:rPr>
          <w:i/>
          <w:color w:val="3B3838"/>
          <w:spacing w:val="-7"/>
          <w:sz w:val="18"/>
        </w:rPr>
        <w:t>77</w:t>
      </w:r>
    </w:p>
    <w:p>
      <w:pPr>
        <w:pStyle w:val="BodyText"/>
        <w:spacing w:before="149"/>
        <w:rPr>
          <w:i/>
          <w:sz w:val="18"/>
        </w:rPr>
      </w:pPr>
    </w:p>
    <w:p>
      <w:pPr>
        <w:pStyle w:val="BodyText"/>
        <w:spacing w:line="278" w:lineRule="auto"/>
        <w:ind w:left="321" w:right="305" w:firstLine="5"/>
        <w:jc w:val="both"/>
      </w:pPr>
      <w:r>
        <w:rPr>
          <w:color w:val="111313"/>
        </w:rPr>
        <w:t>market demands and technological advancements</w:t>
      </w:r>
      <w:r>
        <w:rPr>
          <w:color w:val="3B3838"/>
        </w:rPr>
        <w:t>, </w:t>
      </w:r>
      <w:r>
        <w:rPr>
          <w:color w:val="111313"/>
        </w:rPr>
        <w:t>the effectiveness of </w:t>
      </w:r>
      <w:r>
        <w:rPr>
          <w:b/>
          <w:color w:val="111313"/>
          <w:sz w:val="20"/>
        </w:rPr>
        <w:t>T&amp;D </w:t>
      </w:r>
      <w:r>
        <w:rPr>
          <w:color w:val="111313"/>
        </w:rPr>
        <w:t>initiatives</w:t>
      </w:r>
      <w:r>
        <w:rPr>
          <w:color w:val="111313"/>
          <w:spacing w:val="40"/>
        </w:rPr>
        <w:t> </w:t>
      </w:r>
      <w:r>
        <w:rPr>
          <w:color w:val="111313"/>
        </w:rPr>
        <w:t>depends on employees' motivation to actively engage with training materials and apply the acquired competencies in their work roles (Hossain &amp; Islam</w:t>
      </w:r>
      <w:r>
        <w:rPr>
          <w:color w:val="3B3838"/>
        </w:rPr>
        <w:t>, </w:t>
      </w:r>
      <w:r>
        <w:rPr>
          <w:color w:val="111313"/>
        </w:rPr>
        <w:t>2019). Research suggests that motivated employees are more likely to demonstrate higher levels of participation in training programs</w:t>
      </w:r>
      <w:r>
        <w:rPr>
          <w:color w:val="111313"/>
          <w:spacing w:val="40"/>
        </w:rPr>
        <w:t> </w:t>
      </w:r>
      <w:r>
        <w:rPr>
          <w:color w:val="111313"/>
        </w:rPr>
        <w:t>and exhibit</w:t>
      </w:r>
      <w:r>
        <w:rPr>
          <w:color w:val="111313"/>
          <w:spacing w:val="40"/>
        </w:rPr>
        <w:t> </w:t>
      </w:r>
      <w:r>
        <w:rPr>
          <w:color w:val="111313"/>
        </w:rPr>
        <w:t>greater</w:t>
      </w:r>
      <w:r>
        <w:rPr>
          <w:color w:val="111313"/>
          <w:spacing w:val="40"/>
        </w:rPr>
        <w:t> </w:t>
      </w:r>
      <w:r>
        <w:rPr>
          <w:color w:val="111313"/>
        </w:rPr>
        <w:t>enthusiasm</w:t>
      </w:r>
      <w:r>
        <w:rPr>
          <w:color w:val="111313"/>
          <w:spacing w:val="40"/>
        </w:rPr>
        <w:t> </w:t>
      </w:r>
      <w:r>
        <w:rPr>
          <w:color w:val="111313"/>
        </w:rPr>
        <w:t>for learning</w:t>
      </w:r>
      <w:r>
        <w:rPr>
          <w:color w:val="111313"/>
          <w:spacing w:val="40"/>
        </w:rPr>
        <w:t> </w:t>
      </w:r>
      <w:r>
        <w:rPr>
          <w:color w:val="111313"/>
        </w:rPr>
        <w:t>and</w:t>
      </w:r>
      <w:r>
        <w:rPr>
          <w:color w:val="111313"/>
          <w:spacing w:val="40"/>
        </w:rPr>
        <w:t> </w:t>
      </w:r>
      <w:r>
        <w:rPr>
          <w:color w:val="111313"/>
        </w:rPr>
        <w:t>development</w:t>
      </w:r>
      <w:r>
        <w:rPr>
          <w:color w:val="111313"/>
          <w:spacing w:val="40"/>
        </w:rPr>
        <w:t> </w:t>
      </w:r>
      <w:r>
        <w:rPr>
          <w:color w:val="111313"/>
        </w:rPr>
        <w:t>opportunities (Alzahmi &amp; AI-Musadieq, 2019). Moreover, training motivation influences employees' perceptions of training relevance</w:t>
      </w:r>
      <w:r>
        <w:rPr>
          <w:color w:val="3B3838"/>
        </w:rPr>
        <w:t>,</w:t>
      </w:r>
      <w:r>
        <w:rPr>
          <w:color w:val="3B3838"/>
          <w:spacing w:val="-1"/>
        </w:rPr>
        <w:t> </w:t>
      </w:r>
      <w:r>
        <w:rPr>
          <w:color w:val="111313"/>
        </w:rPr>
        <w:t>their belief in their ability to</w:t>
      </w:r>
      <w:r>
        <w:rPr>
          <w:color w:val="111313"/>
          <w:spacing w:val="-1"/>
        </w:rPr>
        <w:t> </w:t>
      </w:r>
      <w:r>
        <w:rPr>
          <w:color w:val="111313"/>
        </w:rPr>
        <w:t>learn and apply new skills</w:t>
      </w:r>
      <w:r>
        <w:rPr>
          <w:color w:val="3B3838"/>
        </w:rPr>
        <w:t>,</w:t>
      </w:r>
      <w:r>
        <w:rPr>
          <w:color w:val="3B3838"/>
          <w:spacing w:val="-11"/>
        </w:rPr>
        <w:t> </w:t>
      </w:r>
      <w:r>
        <w:rPr>
          <w:color w:val="111313"/>
        </w:rPr>
        <w:t>and their overall engagement with the training process (Alzahmi &amp; Al-Musadieq, 2019).</w:t>
      </w:r>
    </w:p>
    <w:p>
      <w:pPr>
        <w:pStyle w:val="BodyText"/>
        <w:spacing w:line="278" w:lineRule="auto" w:before="105"/>
        <w:ind w:left="321" w:right="303" w:firstLine="4"/>
        <w:jc w:val="both"/>
      </w:pPr>
      <w:r>
        <w:rPr>
          <w:color w:val="111313"/>
        </w:rPr>
        <w:t>Within the RMG sector of Bangladesh, various factors contribute to</w:t>
      </w:r>
      <w:r>
        <w:rPr>
          <w:color w:val="111313"/>
          <w:spacing w:val="-1"/>
        </w:rPr>
        <w:t> </w:t>
      </w:r>
      <w:r>
        <w:rPr>
          <w:color w:val="111313"/>
        </w:rPr>
        <w:t>employees' motivation to engage</w:t>
      </w:r>
      <w:r>
        <w:rPr>
          <w:color w:val="111313"/>
          <w:spacing w:val="28"/>
        </w:rPr>
        <w:t> </w:t>
      </w:r>
      <w:r>
        <w:rPr>
          <w:color w:val="111313"/>
        </w:rPr>
        <w:t>in training activities.</w:t>
      </w:r>
      <w:r>
        <w:rPr>
          <w:color w:val="111313"/>
          <w:spacing w:val="33"/>
        </w:rPr>
        <w:t> </w:t>
      </w:r>
      <w:r>
        <w:rPr>
          <w:color w:val="111313"/>
        </w:rPr>
        <w:t>These</w:t>
      </w:r>
      <w:r>
        <w:rPr>
          <w:color w:val="111313"/>
          <w:spacing w:val="30"/>
        </w:rPr>
        <w:t> </w:t>
      </w:r>
      <w:r>
        <w:rPr>
          <w:color w:val="111313"/>
        </w:rPr>
        <w:t>include</w:t>
      </w:r>
      <w:r>
        <w:rPr>
          <w:color w:val="111313"/>
          <w:spacing w:val="28"/>
        </w:rPr>
        <w:t> </w:t>
      </w:r>
      <w:r>
        <w:rPr>
          <w:color w:val="111313"/>
        </w:rPr>
        <w:t>the perceived</w:t>
      </w:r>
      <w:r>
        <w:rPr>
          <w:color w:val="111313"/>
          <w:spacing w:val="37"/>
        </w:rPr>
        <w:t> </w:t>
      </w:r>
      <w:r>
        <w:rPr>
          <w:color w:val="111313"/>
        </w:rPr>
        <w:t>relevance</w:t>
      </w:r>
      <w:r>
        <w:rPr>
          <w:color w:val="111313"/>
          <w:spacing w:val="29"/>
        </w:rPr>
        <w:t> </w:t>
      </w:r>
      <w:r>
        <w:rPr>
          <w:color w:val="111313"/>
        </w:rPr>
        <w:t>of training</w:t>
      </w:r>
      <w:r>
        <w:rPr>
          <w:color w:val="111313"/>
          <w:spacing w:val="29"/>
        </w:rPr>
        <w:t> </w:t>
      </w:r>
      <w:r>
        <w:rPr>
          <w:color w:val="111313"/>
        </w:rPr>
        <w:t>programs</w:t>
      </w:r>
      <w:r>
        <w:rPr>
          <w:color w:val="111313"/>
          <w:spacing w:val="32"/>
        </w:rPr>
        <w:t> </w:t>
      </w:r>
      <w:r>
        <w:rPr>
          <w:color w:val="111313"/>
        </w:rPr>
        <w:t>to job roles, supervisor support, organizational culture, and career advancement opportunities (Alam</w:t>
      </w:r>
      <w:r>
        <w:rPr>
          <w:color w:val="111313"/>
          <w:spacing w:val="40"/>
        </w:rPr>
        <w:t> </w:t>
      </w:r>
      <w:r>
        <w:rPr>
          <w:color w:val="111313"/>
        </w:rPr>
        <w:t>&amp; Ahmed, 2018).</w:t>
      </w:r>
      <w:r>
        <w:rPr>
          <w:color w:val="111313"/>
          <w:spacing w:val="40"/>
        </w:rPr>
        <w:t> </w:t>
      </w:r>
      <w:r>
        <w:rPr>
          <w:color w:val="111313"/>
        </w:rPr>
        <w:t>Additionally,</w:t>
      </w:r>
      <w:r>
        <w:rPr>
          <w:color w:val="111313"/>
          <w:spacing w:val="40"/>
        </w:rPr>
        <w:t> </w:t>
      </w:r>
      <w:r>
        <w:rPr>
          <w:color w:val="111313"/>
        </w:rPr>
        <w:t>individual</w:t>
      </w:r>
      <w:r>
        <w:rPr>
          <w:color w:val="111313"/>
          <w:spacing w:val="40"/>
        </w:rPr>
        <w:t> </w:t>
      </w:r>
      <w:r>
        <w:rPr>
          <w:color w:val="111313"/>
        </w:rPr>
        <w:t>characteristics such</w:t>
      </w:r>
      <w:r>
        <w:rPr>
          <w:color w:val="111313"/>
          <w:spacing w:val="40"/>
        </w:rPr>
        <w:t> </w:t>
      </w:r>
      <w:r>
        <w:rPr>
          <w:color w:val="111313"/>
        </w:rPr>
        <w:t>as self-efficacy, learning orientation, and job satisfaction significantly influence employees' motivation</w:t>
      </w:r>
      <w:r>
        <w:rPr>
          <w:color w:val="111313"/>
          <w:spacing w:val="80"/>
        </w:rPr>
        <w:t> </w:t>
      </w:r>
      <w:r>
        <w:rPr>
          <w:color w:val="111313"/>
        </w:rPr>
        <w:t>towards training (Alzahmi &amp; AI-Musadieq, 2019).</w:t>
      </w:r>
    </w:p>
    <w:p>
      <w:pPr>
        <w:pStyle w:val="BodyText"/>
        <w:spacing w:line="290" w:lineRule="auto" w:before="102"/>
        <w:ind w:left="759" w:right="304" w:hanging="435"/>
        <w:jc w:val="both"/>
      </w:pPr>
      <w:r>
        <w:rPr>
          <w:b/>
          <w:color w:val="111313"/>
          <w:sz w:val="20"/>
        </w:rPr>
        <w:t>H4: </w:t>
      </w:r>
      <w:r>
        <w:rPr>
          <w:color w:val="111313"/>
        </w:rPr>
        <w:t>Training Motivation plays a mediating role m the association between training &amp; development and employee productivity.</w:t>
      </w:r>
    </w:p>
    <w:p>
      <w:pPr>
        <w:pStyle w:val="ListParagraph"/>
        <w:numPr>
          <w:ilvl w:val="1"/>
          <w:numId w:val="1"/>
        </w:numPr>
        <w:tabs>
          <w:tab w:pos="650" w:val="left" w:leader="none"/>
        </w:tabs>
        <w:spacing w:line="240" w:lineRule="auto" w:before="107" w:after="0"/>
        <w:ind w:left="650" w:right="0" w:hanging="324"/>
        <w:jc w:val="both"/>
        <w:rPr>
          <w:i/>
          <w:color w:val="111313"/>
          <w:sz w:val="20"/>
        </w:rPr>
      </w:pPr>
      <w:r>
        <w:rPr>
          <w:i/>
          <w:color w:val="111313"/>
          <w:w w:val="105"/>
          <w:sz w:val="20"/>
        </w:rPr>
        <w:t>Research</w:t>
      </w:r>
      <w:r>
        <w:rPr>
          <w:i/>
          <w:color w:val="111313"/>
          <w:spacing w:val="2"/>
          <w:w w:val="105"/>
          <w:sz w:val="20"/>
        </w:rPr>
        <w:t> </w:t>
      </w:r>
      <w:r>
        <w:rPr>
          <w:i/>
          <w:color w:val="111313"/>
          <w:spacing w:val="-5"/>
          <w:w w:val="105"/>
          <w:sz w:val="20"/>
        </w:rPr>
        <w:t>Gap</w:t>
      </w:r>
    </w:p>
    <w:p>
      <w:pPr>
        <w:pStyle w:val="BodyText"/>
        <w:spacing w:line="290" w:lineRule="auto" w:before="155"/>
        <w:ind w:left="321" w:right="304" w:firstLine="1"/>
        <w:jc w:val="both"/>
      </w:pPr>
      <w:r>
        <w:rPr>
          <w:color w:val="111313"/>
        </w:rPr>
        <w:t>The research gap in the</w:t>
      </w:r>
      <w:r>
        <w:rPr>
          <w:color w:val="111313"/>
          <w:spacing w:val="-2"/>
        </w:rPr>
        <w:t> </w:t>
      </w:r>
      <w:r>
        <w:rPr>
          <w:color w:val="111313"/>
        </w:rPr>
        <w:t>context of training &amp; development (T&amp;D) and </w:t>
      </w:r>
      <w:r>
        <w:rPr>
          <w:color w:val="262626"/>
        </w:rPr>
        <w:t>employee </w:t>
      </w:r>
      <w:r>
        <w:rPr>
          <w:color w:val="111313"/>
        </w:rPr>
        <w:t>productivity within the readymade garments (RMG) sector of Bangladesh, particularly focusing on the mediating role of Training Motivation, lies in the limited empirical exploration of this relationship within the unique dynamics of the RMG industry. While existing literature recognizes the importance of T&amp;D initiatives for enhancing productivity and the significance of training motivation as a mediating factor, there is a dearth of comprehensive </w:t>
      </w:r>
      <w:r>
        <w:rPr>
          <w:color w:val="262626"/>
        </w:rPr>
        <w:t>studies </w:t>
      </w:r>
      <w:r>
        <w:rPr>
          <w:color w:val="111313"/>
        </w:rPr>
        <w:t>specifically examining this interplay within the context of Bangladesh's RMG sector. Consequently, there is a critical need for empirical research that investigates the mechanisms through which T&amp;D interventions influence employee productivity via training motivation pathways, thereby providing valuable insights for enhancing the effectiveness of training strategies tailored to the RMG industry (Alzahmi &amp; Al-Musadieq, 2019; Alam &amp; Ahmed, 2018; Hossain &amp; Islam, 2019).</w:t>
      </w:r>
    </w:p>
    <w:p>
      <w:pPr>
        <w:pStyle w:val="ListParagraph"/>
        <w:numPr>
          <w:ilvl w:val="0"/>
          <w:numId w:val="1"/>
        </w:numPr>
        <w:tabs>
          <w:tab w:pos="539" w:val="left" w:leader="none"/>
        </w:tabs>
        <w:spacing w:line="240" w:lineRule="auto" w:before="122" w:after="0"/>
        <w:ind w:left="539" w:right="0" w:hanging="213"/>
        <w:jc w:val="both"/>
        <w:rPr>
          <w:b/>
          <w:color w:val="111313"/>
          <w:sz w:val="20"/>
        </w:rPr>
      </w:pPr>
      <w:r>
        <w:rPr>
          <w:b/>
          <w:color w:val="111313"/>
          <w:w w:val="105"/>
          <w:sz w:val="20"/>
        </w:rPr>
        <w:t>Problem</w:t>
      </w:r>
      <w:r>
        <w:rPr>
          <w:b/>
          <w:color w:val="111313"/>
          <w:spacing w:val="7"/>
          <w:w w:val="105"/>
          <w:sz w:val="20"/>
        </w:rPr>
        <w:t> </w:t>
      </w:r>
      <w:r>
        <w:rPr>
          <w:b/>
          <w:color w:val="111313"/>
          <w:spacing w:val="-2"/>
          <w:w w:val="105"/>
          <w:sz w:val="20"/>
        </w:rPr>
        <w:t>Statement</w:t>
      </w:r>
    </w:p>
    <w:p>
      <w:pPr>
        <w:pStyle w:val="BodyText"/>
        <w:spacing w:line="278" w:lineRule="auto" w:before="150"/>
        <w:ind w:left="321" w:right="308" w:firstLine="1"/>
        <w:jc w:val="both"/>
      </w:pPr>
      <w:r>
        <w:rPr>
          <w:color w:val="111313"/>
        </w:rPr>
        <w:t>The problem statement revolves around the need to comprehensively understand and address the relationship between training &amp; development (T&amp;D) initiatives, employee productivity,</w:t>
      </w:r>
      <w:r>
        <w:rPr>
          <w:color w:val="111313"/>
          <w:spacing w:val="40"/>
        </w:rPr>
        <w:t> </w:t>
      </w:r>
      <w:r>
        <w:rPr>
          <w:color w:val="111313"/>
        </w:rPr>
        <w:t>and the mediating influence of training motivation within the ready-made garments (RMG) sector of Bangladesh. Despite the acknowledged</w:t>
      </w:r>
      <w:r>
        <w:rPr>
          <w:color w:val="111313"/>
          <w:spacing w:val="30"/>
        </w:rPr>
        <w:t> </w:t>
      </w:r>
      <w:r>
        <w:rPr>
          <w:color w:val="111313"/>
        </w:rPr>
        <w:t>importance of T&amp;D programs for enhancing productivity</w:t>
      </w:r>
      <w:r>
        <w:rPr>
          <w:color w:val="111313"/>
          <w:spacing w:val="28"/>
        </w:rPr>
        <w:t> </w:t>
      </w:r>
      <w:r>
        <w:rPr>
          <w:color w:val="111313"/>
        </w:rPr>
        <w:t>and</w:t>
      </w:r>
      <w:r>
        <w:rPr>
          <w:color w:val="111313"/>
          <w:spacing w:val="23"/>
        </w:rPr>
        <w:t> </w:t>
      </w:r>
      <w:r>
        <w:rPr>
          <w:color w:val="111313"/>
        </w:rPr>
        <w:t>the</w:t>
      </w:r>
      <w:r>
        <w:rPr>
          <w:color w:val="111313"/>
          <w:spacing w:val="12"/>
        </w:rPr>
        <w:t> </w:t>
      </w:r>
      <w:r>
        <w:rPr>
          <w:color w:val="111313"/>
        </w:rPr>
        <w:t>significant</w:t>
      </w:r>
      <w:r>
        <w:rPr>
          <w:color w:val="111313"/>
          <w:spacing w:val="28"/>
        </w:rPr>
        <w:t> </w:t>
      </w:r>
      <w:r>
        <w:rPr>
          <w:color w:val="111313"/>
        </w:rPr>
        <w:t>role</w:t>
      </w:r>
      <w:r>
        <w:rPr>
          <w:color w:val="111313"/>
          <w:spacing w:val="12"/>
        </w:rPr>
        <w:t> </w:t>
      </w:r>
      <w:r>
        <w:rPr>
          <w:color w:val="111313"/>
        </w:rPr>
        <w:t>of</w:t>
      </w:r>
      <w:r>
        <w:rPr>
          <w:color w:val="111313"/>
          <w:spacing w:val="12"/>
        </w:rPr>
        <w:t> </w:t>
      </w:r>
      <w:r>
        <w:rPr>
          <w:color w:val="111313"/>
        </w:rPr>
        <w:t>training</w:t>
      </w:r>
      <w:r>
        <w:rPr>
          <w:color w:val="111313"/>
          <w:spacing w:val="12"/>
        </w:rPr>
        <w:t> </w:t>
      </w:r>
      <w:r>
        <w:rPr>
          <w:color w:val="111313"/>
        </w:rPr>
        <w:t>motivation</w:t>
      </w:r>
      <w:r>
        <w:rPr>
          <w:color w:val="111313"/>
          <w:spacing w:val="19"/>
        </w:rPr>
        <w:t> </w:t>
      </w:r>
      <w:r>
        <w:rPr>
          <w:color w:val="111313"/>
        </w:rPr>
        <w:t>as a mediating</w:t>
      </w:r>
      <w:r>
        <w:rPr>
          <w:color w:val="111313"/>
          <w:spacing w:val="21"/>
        </w:rPr>
        <w:t> </w:t>
      </w:r>
      <w:r>
        <w:rPr>
          <w:color w:val="111313"/>
        </w:rPr>
        <w:t>factor,</w:t>
      </w:r>
      <w:r>
        <w:rPr>
          <w:color w:val="111313"/>
          <w:spacing w:val="14"/>
        </w:rPr>
        <w:t> </w:t>
      </w:r>
      <w:r>
        <w:rPr>
          <w:color w:val="111313"/>
        </w:rPr>
        <w:t>there exists a</w:t>
      </w:r>
      <w:r>
        <w:rPr>
          <w:color w:val="111313"/>
          <w:spacing w:val="24"/>
        </w:rPr>
        <w:t> </w:t>
      </w:r>
      <w:r>
        <w:rPr>
          <w:color w:val="111313"/>
        </w:rPr>
        <w:t>gap</w:t>
      </w:r>
      <w:r>
        <w:rPr>
          <w:color w:val="111313"/>
          <w:spacing w:val="30"/>
        </w:rPr>
        <w:t> </w:t>
      </w:r>
      <w:r>
        <w:rPr>
          <w:color w:val="111313"/>
        </w:rPr>
        <w:t>in</w:t>
      </w:r>
      <w:r>
        <w:rPr>
          <w:color w:val="111313"/>
          <w:spacing w:val="29"/>
        </w:rPr>
        <w:t> </w:t>
      </w:r>
      <w:r>
        <w:rPr>
          <w:color w:val="111313"/>
        </w:rPr>
        <w:t>empirical</w:t>
      </w:r>
      <w:r>
        <w:rPr>
          <w:color w:val="111313"/>
          <w:spacing w:val="37"/>
        </w:rPr>
        <w:t> </w:t>
      </w:r>
      <w:r>
        <w:rPr>
          <w:color w:val="111313"/>
        </w:rPr>
        <w:t>research</w:t>
      </w:r>
      <w:r>
        <w:rPr>
          <w:color w:val="111313"/>
          <w:spacing w:val="39"/>
        </w:rPr>
        <w:t> </w:t>
      </w:r>
      <w:r>
        <w:rPr>
          <w:color w:val="111313"/>
        </w:rPr>
        <w:t>specifically</w:t>
      </w:r>
      <w:r>
        <w:rPr>
          <w:color w:val="111313"/>
          <w:spacing w:val="44"/>
        </w:rPr>
        <w:t> </w:t>
      </w:r>
      <w:r>
        <w:rPr>
          <w:color w:val="111313"/>
        </w:rPr>
        <w:t>investigating</w:t>
      </w:r>
      <w:r>
        <w:rPr>
          <w:color w:val="111313"/>
          <w:spacing w:val="38"/>
        </w:rPr>
        <w:t> </w:t>
      </w:r>
      <w:r>
        <w:rPr>
          <w:color w:val="111313"/>
        </w:rPr>
        <w:t>these</w:t>
      </w:r>
      <w:r>
        <w:rPr>
          <w:color w:val="111313"/>
          <w:spacing w:val="27"/>
        </w:rPr>
        <w:t> </w:t>
      </w:r>
      <w:r>
        <w:rPr>
          <w:color w:val="111313"/>
        </w:rPr>
        <w:t>dynamics</w:t>
      </w:r>
      <w:r>
        <w:rPr>
          <w:color w:val="111313"/>
          <w:spacing w:val="38"/>
        </w:rPr>
        <w:t> </w:t>
      </w:r>
      <w:r>
        <w:rPr>
          <w:color w:val="111313"/>
        </w:rPr>
        <w:t>within</w:t>
      </w:r>
      <w:r>
        <w:rPr>
          <w:color w:val="111313"/>
          <w:spacing w:val="35"/>
        </w:rPr>
        <w:t> </w:t>
      </w:r>
      <w:r>
        <w:rPr>
          <w:color w:val="111313"/>
        </w:rPr>
        <w:t>the</w:t>
      </w:r>
      <w:r>
        <w:rPr>
          <w:color w:val="111313"/>
          <w:spacing w:val="30"/>
        </w:rPr>
        <w:t> </w:t>
      </w:r>
      <w:r>
        <w:rPr>
          <w:color w:val="111313"/>
        </w:rPr>
        <w:t>context</w:t>
      </w:r>
      <w:r>
        <w:rPr>
          <w:color w:val="111313"/>
          <w:spacing w:val="31"/>
        </w:rPr>
        <w:t> </w:t>
      </w:r>
      <w:r>
        <w:rPr>
          <w:color w:val="111313"/>
          <w:spacing w:val="-5"/>
        </w:rPr>
        <w:t>of</w:t>
      </w:r>
    </w:p>
    <w:p>
      <w:pPr>
        <w:pStyle w:val="BodyText"/>
      </w:pPr>
    </w:p>
    <w:p>
      <w:pPr>
        <w:pStyle w:val="BodyText"/>
      </w:pPr>
    </w:p>
    <w:p>
      <w:pPr>
        <w:pStyle w:val="BodyText"/>
      </w:pPr>
    </w:p>
    <w:p>
      <w:pPr>
        <w:pStyle w:val="BodyText"/>
        <w:spacing w:before="135"/>
      </w:pPr>
    </w:p>
    <w:p>
      <w:pPr>
        <w:spacing w:before="0"/>
        <w:ind w:left="854" w:right="823" w:firstLine="0"/>
        <w:jc w:val="center"/>
        <w:rPr>
          <w:sz w:val="17"/>
        </w:rPr>
      </w:pPr>
      <w:r>
        <w:rPr>
          <w:color w:val="3B3838"/>
          <w:spacing w:val="-5"/>
          <w:w w:val="105"/>
          <w:sz w:val="17"/>
        </w:rPr>
        <w:t>61</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62" w:id="6"/>
      <w:bookmarkEnd w:id="6"/>
      <w:r>
        <w:rPr/>
      </w:r>
      <w:r>
        <w:rPr>
          <w:i/>
          <w:color w:val="3B3838"/>
          <w:sz w:val="18"/>
        </w:rPr>
        <w:t>Mahbub</w:t>
      </w:r>
      <w:r>
        <w:rPr>
          <w:i/>
          <w:color w:val="565454"/>
          <w:sz w:val="18"/>
        </w:rPr>
        <w:t>/</w:t>
      </w:r>
      <w:r>
        <w:rPr>
          <w:i/>
          <w:color w:val="3B3838"/>
          <w:sz w:val="18"/>
        </w:rPr>
        <w:t>Comilla</w:t>
      </w:r>
      <w:r>
        <w:rPr>
          <w:i/>
          <w:color w:val="3B3838"/>
          <w:spacing w:val="-12"/>
          <w:sz w:val="18"/>
        </w:rPr>
        <w:t> </w:t>
      </w:r>
      <w:r>
        <w:rPr>
          <w:i/>
          <w:color w:val="3B3838"/>
          <w:sz w:val="18"/>
        </w:rPr>
        <w:t>Un</w:t>
      </w:r>
      <w:r>
        <w:rPr>
          <w:i/>
          <w:color w:val="111313"/>
          <w:sz w:val="18"/>
        </w:rPr>
        <w:t>i</w:t>
      </w:r>
      <w:r>
        <w:rPr>
          <w:i/>
          <w:color w:val="3B3838"/>
          <w:sz w:val="18"/>
        </w:rPr>
        <w:t>versity</w:t>
      </w:r>
      <w:r>
        <w:rPr>
          <w:i/>
          <w:color w:val="3B3838"/>
          <w:spacing w:val="-11"/>
          <w:sz w:val="18"/>
        </w:rPr>
        <w:t> </w:t>
      </w:r>
      <w:r>
        <w:rPr>
          <w:i/>
          <w:color w:val="3B3838"/>
          <w:sz w:val="18"/>
        </w:rPr>
        <w:t>Journal</w:t>
      </w:r>
      <w:r>
        <w:rPr>
          <w:i/>
          <w:color w:val="3B3838"/>
          <w:spacing w:val="-3"/>
          <w:sz w:val="18"/>
        </w:rPr>
        <w:t> </w:t>
      </w:r>
      <w:r>
        <w:rPr>
          <w:i/>
          <w:color w:val="3B3838"/>
          <w:sz w:val="18"/>
        </w:rPr>
        <w:t>of</w:t>
      </w:r>
      <w:r>
        <w:rPr>
          <w:i/>
          <w:color w:val="3B3838"/>
          <w:spacing w:val="-4"/>
          <w:sz w:val="18"/>
        </w:rPr>
        <w:t> </w:t>
      </w:r>
      <w:r>
        <w:rPr>
          <w:i/>
          <w:color w:val="3B3838"/>
          <w:sz w:val="18"/>
        </w:rPr>
        <w:t>Business</w:t>
      </w:r>
      <w:r>
        <w:rPr>
          <w:i/>
          <w:color w:val="3B3838"/>
          <w:spacing w:val="-1"/>
          <w:sz w:val="18"/>
        </w:rPr>
        <w:t> </w:t>
      </w:r>
      <w:r>
        <w:rPr>
          <w:i/>
          <w:color w:val="3B3838"/>
          <w:sz w:val="18"/>
        </w:rPr>
        <w:t>Studies</w:t>
      </w:r>
      <w:r>
        <w:rPr>
          <w:i/>
          <w:color w:val="3B3838"/>
          <w:spacing w:val="53"/>
          <w:sz w:val="18"/>
        </w:rPr>
        <w:t> </w:t>
      </w:r>
      <w:r>
        <w:rPr>
          <w:i/>
          <w:color w:val="111313"/>
          <w:sz w:val="18"/>
        </w:rPr>
        <w:t>IO</w:t>
      </w:r>
      <w:r>
        <w:rPr>
          <w:i/>
          <w:color w:val="111313"/>
          <w:spacing w:val="-11"/>
          <w:sz w:val="18"/>
        </w:rPr>
        <w:t> </w:t>
      </w:r>
      <w:r>
        <w:rPr>
          <w:i/>
          <w:color w:val="3B3838"/>
          <w:sz w:val="18"/>
        </w:rPr>
        <w:t>(2023)</w:t>
      </w:r>
      <w:r>
        <w:rPr>
          <w:i/>
          <w:color w:val="3B3838"/>
          <w:spacing w:val="-7"/>
          <w:sz w:val="18"/>
        </w:rPr>
        <w:t> </w:t>
      </w:r>
      <w:r>
        <w:rPr>
          <w:i/>
          <w:color w:val="3B3838"/>
          <w:sz w:val="18"/>
        </w:rPr>
        <w:t>5</w:t>
      </w:r>
      <w:r>
        <w:rPr>
          <w:color w:val="3B3838"/>
          <w:sz w:val="17"/>
        </w:rPr>
        <w:t>7</w:t>
      </w:r>
      <w:r>
        <w:rPr>
          <w:color w:val="111313"/>
          <w:sz w:val="17"/>
        </w:rPr>
        <w:t>-</w:t>
      </w:r>
      <w:r>
        <w:rPr>
          <w:i/>
          <w:color w:val="3B3838"/>
          <w:spacing w:val="-7"/>
          <w:sz w:val="18"/>
        </w:rPr>
        <w:t>77</w:t>
      </w:r>
    </w:p>
    <w:p>
      <w:pPr>
        <w:pStyle w:val="BodyText"/>
        <w:spacing w:before="149"/>
        <w:rPr>
          <w:i/>
          <w:sz w:val="18"/>
        </w:rPr>
      </w:pPr>
    </w:p>
    <w:p>
      <w:pPr>
        <w:pStyle w:val="BodyText"/>
        <w:spacing w:line="278" w:lineRule="auto"/>
        <w:ind w:left="314" w:right="313" w:firstLine="1"/>
        <w:jc w:val="both"/>
      </w:pPr>
      <w:r>
        <w:rPr>
          <w:color w:val="111313"/>
        </w:rPr>
        <w:t>Bangladesh's RMG industry. Therefore, the problem statement highlights the necessity for rigorous empirical studies to elucidate the mechanisms through which T&amp;D interventions influence</w:t>
      </w:r>
      <w:r>
        <w:rPr>
          <w:color w:val="111313"/>
          <w:spacing w:val="40"/>
        </w:rPr>
        <w:t> </w:t>
      </w:r>
      <w:r>
        <w:rPr>
          <w:color w:val="111313"/>
        </w:rPr>
        <w:t>employee</w:t>
      </w:r>
      <w:r>
        <w:rPr>
          <w:color w:val="111313"/>
          <w:spacing w:val="40"/>
        </w:rPr>
        <w:t> </w:t>
      </w:r>
      <w:r>
        <w:rPr>
          <w:color w:val="111313"/>
        </w:rPr>
        <w:t>productivity</w:t>
      </w:r>
      <w:r>
        <w:rPr>
          <w:color w:val="111313"/>
          <w:spacing w:val="40"/>
        </w:rPr>
        <w:t> </w:t>
      </w:r>
      <w:r>
        <w:rPr>
          <w:color w:val="111313"/>
        </w:rPr>
        <w:t>via</w:t>
      </w:r>
      <w:r>
        <w:rPr>
          <w:color w:val="111313"/>
          <w:spacing w:val="40"/>
        </w:rPr>
        <w:t> </w:t>
      </w:r>
      <w:r>
        <w:rPr>
          <w:color w:val="111313"/>
        </w:rPr>
        <w:t>training</w:t>
      </w:r>
      <w:r>
        <w:rPr>
          <w:color w:val="111313"/>
          <w:spacing w:val="40"/>
        </w:rPr>
        <w:t> </w:t>
      </w:r>
      <w:r>
        <w:rPr>
          <w:color w:val="111313"/>
        </w:rPr>
        <w:t>motivation</w:t>
      </w:r>
      <w:r>
        <w:rPr>
          <w:color w:val="111313"/>
          <w:spacing w:val="40"/>
        </w:rPr>
        <w:t> </w:t>
      </w:r>
      <w:r>
        <w:rPr>
          <w:color w:val="111313"/>
        </w:rPr>
        <w:t>pathways</w:t>
      </w:r>
      <w:r>
        <w:rPr>
          <w:color w:val="3B3838"/>
        </w:rPr>
        <w:t>,</w:t>
      </w:r>
      <w:r>
        <w:rPr>
          <w:color w:val="3B3838"/>
          <w:spacing w:val="40"/>
        </w:rPr>
        <w:t> </w:t>
      </w:r>
      <w:r>
        <w:rPr>
          <w:color w:val="111313"/>
        </w:rPr>
        <w:t>aiming</w:t>
      </w:r>
      <w:r>
        <w:rPr>
          <w:color w:val="111313"/>
          <w:spacing w:val="40"/>
        </w:rPr>
        <w:t> </w:t>
      </w:r>
      <w:r>
        <w:rPr>
          <w:color w:val="111313"/>
        </w:rPr>
        <w:t>to</w:t>
      </w:r>
      <w:r>
        <w:rPr>
          <w:color w:val="111313"/>
          <w:spacing w:val="40"/>
        </w:rPr>
        <w:t> </w:t>
      </w:r>
      <w:r>
        <w:rPr>
          <w:color w:val="111313"/>
        </w:rPr>
        <w:t>provide valuable insights for the development of more effective training strategies tailored to the unique needs and challenges of the RMG sector (Alzahmi &amp; Al-Musadieq, 2019; Alam &amp; Ahmed, 2018; Hossain &amp; Islam</w:t>
      </w:r>
      <w:r>
        <w:rPr>
          <w:color w:val="3B3838"/>
        </w:rPr>
        <w:t>, </w:t>
      </w:r>
      <w:r>
        <w:rPr>
          <w:color w:val="111313"/>
        </w:rPr>
        <w:t>2019).</w:t>
      </w:r>
    </w:p>
    <w:p>
      <w:pPr>
        <w:pStyle w:val="ListParagraph"/>
        <w:numPr>
          <w:ilvl w:val="0"/>
          <w:numId w:val="1"/>
        </w:numPr>
        <w:tabs>
          <w:tab w:pos="531" w:val="left" w:leader="none"/>
        </w:tabs>
        <w:spacing w:line="240" w:lineRule="auto" w:before="107" w:after="0"/>
        <w:ind w:left="531" w:right="0" w:hanging="217"/>
        <w:jc w:val="both"/>
        <w:rPr>
          <w:b/>
          <w:color w:val="111313"/>
          <w:sz w:val="21"/>
        </w:rPr>
      </w:pPr>
      <w:r>
        <w:rPr>
          <w:b/>
          <w:color w:val="111313"/>
          <w:sz w:val="21"/>
        </w:rPr>
        <w:t>Research</w:t>
      </w:r>
      <w:r>
        <w:rPr>
          <w:b/>
          <w:color w:val="111313"/>
          <w:spacing w:val="-5"/>
          <w:sz w:val="21"/>
        </w:rPr>
        <w:t> </w:t>
      </w:r>
      <w:r>
        <w:rPr>
          <w:b/>
          <w:color w:val="111313"/>
          <w:spacing w:val="-2"/>
          <w:sz w:val="21"/>
        </w:rPr>
        <w:t>Questions</w:t>
      </w:r>
    </w:p>
    <w:p>
      <w:pPr>
        <w:pStyle w:val="BodyText"/>
        <w:spacing w:line="244" w:lineRule="auto" w:before="143"/>
        <w:ind w:left="312" w:right="314"/>
        <w:jc w:val="both"/>
      </w:pPr>
      <w:r>
        <w:rPr>
          <w:color w:val="111313"/>
        </w:rPr>
        <w:t>The research questions aimed at investigating the relationship between trammg &amp;</w:t>
      </w:r>
      <w:r>
        <w:rPr>
          <w:color w:val="111313"/>
          <w:spacing w:val="80"/>
        </w:rPr>
        <w:t> </w:t>
      </w:r>
      <w:r>
        <w:rPr>
          <w:color w:val="111313"/>
        </w:rPr>
        <w:t>development (T&amp;D) initiatives</w:t>
      </w:r>
      <w:r>
        <w:rPr>
          <w:color w:val="3B3838"/>
        </w:rPr>
        <w:t>, </w:t>
      </w:r>
      <w:r>
        <w:rPr>
          <w:color w:val="111313"/>
        </w:rPr>
        <w:t>employee productivity, and the mediating role of training motivation within the ready-made garments (RMG) sector of Bangladesh revolve around understanding the following:</w:t>
      </w:r>
    </w:p>
    <w:p>
      <w:pPr>
        <w:pStyle w:val="BodyText"/>
        <w:spacing w:line="244" w:lineRule="auto" w:before="92"/>
        <w:ind w:left="1008" w:right="313" w:hanging="465"/>
        <w:jc w:val="both"/>
      </w:pPr>
      <w:r>
        <w:rPr>
          <w:color w:val="111313"/>
          <w:sz w:val="14"/>
        </w:rPr>
        <w:t>1.</w:t>
      </w:r>
      <w:r>
        <w:rPr>
          <w:color w:val="111313"/>
          <w:spacing w:val="80"/>
          <w:sz w:val="14"/>
        </w:rPr>
        <w:t> </w:t>
      </w:r>
      <w:r>
        <w:rPr>
          <w:color w:val="111313"/>
        </w:rPr>
        <w:t>How do T&amp;D initiatives influence employee productivity in the RMG sector of </w:t>
      </w:r>
      <w:r>
        <w:rPr>
          <w:color w:val="111313"/>
          <w:spacing w:val="-2"/>
        </w:rPr>
        <w:t>Bangladesh?</w:t>
      </w:r>
    </w:p>
    <w:p>
      <w:pPr>
        <w:pStyle w:val="BodyText"/>
        <w:spacing w:line="244" w:lineRule="auto" w:before="55"/>
        <w:ind w:left="1010" w:right="317" w:hanging="530"/>
        <w:jc w:val="both"/>
      </w:pPr>
      <w:r>
        <w:rPr>
          <w:color w:val="111313"/>
          <w:sz w:val="14"/>
        </w:rPr>
        <w:t>11.</w:t>
      </w:r>
      <w:r>
        <w:rPr>
          <w:color w:val="111313"/>
          <w:spacing w:val="80"/>
          <w:w w:val="150"/>
          <w:sz w:val="14"/>
        </w:rPr>
        <w:t> </w:t>
      </w:r>
      <w:r>
        <w:rPr>
          <w:color w:val="111313"/>
        </w:rPr>
        <w:t>What is the role of training motivation in mediating the relationship between T&amp;D initiatives and employee productivity?</w:t>
      </w:r>
    </w:p>
    <w:p>
      <w:pPr>
        <w:pStyle w:val="BodyText"/>
        <w:spacing w:line="244" w:lineRule="auto" w:before="55"/>
        <w:ind w:left="1009" w:right="325" w:hanging="588"/>
        <w:jc w:val="both"/>
      </w:pPr>
      <w:r>
        <w:rPr>
          <w:color w:val="111313"/>
          <w:sz w:val="15"/>
        </w:rPr>
        <w:t>111.</w:t>
      </w:r>
      <w:r>
        <w:rPr>
          <w:color w:val="111313"/>
          <w:spacing w:val="80"/>
          <w:w w:val="150"/>
          <w:sz w:val="15"/>
        </w:rPr>
        <w:t> </w:t>
      </w:r>
      <w:r>
        <w:rPr>
          <w:color w:val="111313"/>
        </w:rPr>
        <w:t>How</w:t>
      </w:r>
      <w:r>
        <w:rPr>
          <w:color w:val="111313"/>
          <w:spacing w:val="40"/>
        </w:rPr>
        <w:t> </w:t>
      </w:r>
      <w:r>
        <w:rPr>
          <w:color w:val="111313"/>
        </w:rPr>
        <w:t>do</w:t>
      </w:r>
      <w:r>
        <w:rPr>
          <w:color w:val="111313"/>
          <w:spacing w:val="40"/>
        </w:rPr>
        <w:t> </w:t>
      </w:r>
      <w:r>
        <w:rPr>
          <w:color w:val="111313"/>
        </w:rPr>
        <w:t>various factors</w:t>
      </w:r>
      <w:r>
        <w:rPr>
          <w:color w:val="111313"/>
          <w:spacing w:val="40"/>
        </w:rPr>
        <w:t> </w:t>
      </w:r>
      <w:r>
        <w:rPr>
          <w:color w:val="111313"/>
        </w:rPr>
        <w:t>such</w:t>
      </w:r>
      <w:r>
        <w:rPr>
          <w:color w:val="111313"/>
          <w:spacing w:val="40"/>
        </w:rPr>
        <w:t> </w:t>
      </w:r>
      <w:r>
        <w:rPr>
          <w:color w:val="111313"/>
        </w:rPr>
        <w:t>as perceived</w:t>
      </w:r>
      <w:r>
        <w:rPr>
          <w:color w:val="111313"/>
          <w:spacing w:val="40"/>
        </w:rPr>
        <w:t> </w:t>
      </w:r>
      <w:r>
        <w:rPr>
          <w:color w:val="111313"/>
        </w:rPr>
        <w:t>relevance</w:t>
      </w:r>
      <w:r>
        <w:rPr>
          <w:color w:val="111313"/>
          <w:spacing w:val="40"/>
        </w:rPr>
        <w:t> </w:t>
      </w:r>
      <w:r>
        <w:rPr>
          <w:color w:val="111313"/>
        </w:rPr>
        <w:t>of</w:t>
      </w:r>
      <w:r>
        <w:rPr>
          <w:color w:val="111313"/>
          <w:spacing w:val="40"/>
        </w:rPr>
        <w:t> </w:t>
      </w:r>
      <w:r>
        <w:rPr>
          <w:color w:val="111313"/>
        </w:rPr>
        <w:t>trammg</w:t>
      </w:r>
      <w:r>
        <w:rPr>
          <w:color w:val="111313"/>
          <w:spacing w:val="40"/>
        </w:rPr>
        <w:t> </w:t>
      </w:r>
      <w:r>
        <w:rPr>
          <w:color w:val="111313"/>
        </w:rPr>
        <w:t>programs, organizational support, and individual characteristics influence training motivation within the context of the RMG industry?</w:t>
      </w:r>
    </w:p>
    <w:p>
      <w:pPr>
        <w:pStyle w:val="ListParagraph"/>
        <w:numPr>
          <w:ilvl w:val="0"/>
          <w:numId w:val="1"/>
        </w:numPr>
        <w:tabs>
          <w:tab w:pos="531" w:val="left" w:leader="none"/>
        </w:tabs>
        <w:spacing w:line="240" w:lineRule="auto" w:before="93" w:after="0"/>
        <w:ind w:left="531" w:right="0" w:hanging="214"/>
        <w:jc w:val="both"/>
        <w:rPr>
          <w:b/>
          <w:color w:val="111313"/>
          <w:sz w:val="21"/>
        </w:rPr>
      </w:pPr>
      <w:r>
        <w:rPr>
          <w:b/>
          <w:color w:val="111313"/>
          <w:sz w:val="21"/>
        </w:rPr>
        <w:t>Research</w:t>
      </w:r>
      <w:r>
        <w:rPr>
          <w:b/>
          <w:color w:val="111313"/>
          <w:spacing w:val="-4"/>
          <w:sz w:val="21"/>
        </w:rPr>
        <w:t> </w:t>
      </w:r>
      <w:r>
        <w:rPr>
          <w:b/>
          <w:color w:val="111313"/>
          <w:spacing w:val="-2"/>
          <w:sz w:val="21"/>
        </w:rPr>
        <w:t>Objectives</w:t>
      </w:r>
    </w:p>
    <w:p>
      <w:pPr>
        <w:pStyle w:val="BodyText"/>
        <w:spacing w:line="278" w:lineRule="auto" w:before="148"/>
        <w:ind w:left="315" w:right="321" w:hanging="4"/>
        <w:jc w:val="both"/>
      </w:pPr>
      <w:r>
        <w:rPr>
          <w:b/>
          <w:color w:val="111313"/>
        </w:rPr>
        <w:t>The</w:t>
      </w:r>
      <w:r>
        <w:rPr>
          <w:b/>
          <w:color w:val="111313"/>
          <w:spacing w:val="40"/>
        </w:rPr>
        <w:t> </w:t>
      </w:r>
      <w:r>
        <w:rPr>
          <w:b/>
          <w:color w:val="111313"/>
        </w:rPr>
        <w:t>Main</w:t>
      </w:r>
      <w:r>
        <w:rPr>
          <w:b/>
          <w:color w:val="111313"/>
          <w:spacing w:val="40"/>
        </w:rPr>
        <w:t> </w:t>
      </w:r>
      <w:r>
        <w:rPr>
          <w:b/>
          <w:color w:val="111313"/>
        </w:rPr>
        <w:t>Objective:</w:t>
      </w:r>
      <w:r>
        <w:rPr>
          <w:b/>
          <w:color w:val="111313"/>
          <w:spacing w:val="40"/>
        </w:rPr>
        <w:t> </w:t>
      </w:r>
      <w:r>
        <w:rPr>
          <w:color w:val="111313"/>
        </w:rPr>
        <w:t>The</w:t>
      </w:r>
      <w:r>
        <w:rPr>
          <w:color w:val="111313"/>
          <w:spacing w:val="40"/>
        </w:rPr>
        <w:t> </w:t>
      </w:r>
      <w:r>
        <w:rPr>
          <w:color w:val="111313"/>
        </w:rPr>
        <w:t>mam</w:t>
      </w:r>
      <w:r>
        <w:rPr>
          <w:color w:val="111313"/>
          <w:spacing w:val="40"/>
        </w:rPr>
        <w:t> </w:t>
      </w:r>
      <w:r>
        <w:rPr>
          <w:color w:val="111313"/>
        </w:rPr>
        <w:t>objective</w:t>
      </w:r>
      <w:r>
        <w:rPr>
          <w:color w:val="111313"/>
          <w:spacing w:val="40"/>
        </w:rPr>
        <w:t> </w:t>
      </w:r>
      <w:r>
        <w:rPr>
          <w:color w:val="111313"/>
        </w:rPr>
        <w:t>of</w:t>
      </w:r>
      <w:r>
        <w:rPr>
          <w:color w:val="111313"/>
          <w:spacing w:val="40"/>
        </w:rPr>
        <w:t> </w:t>
      </w:r>
      <w:r>
        <w:rPr>
          <w:color w:val="111313"/>
        </w:rPr>
        <w:t>this</w:t>
      </w:r>
      <w:r>
        <w:rPr>
          <w:color w:val="111313"/>
          <w:spacing w:val="40"/>
        </w:rPr>
        <w:t> </w:t>
      </w:r>
      <w:r>
        <w:rPr>
          <w:color w:val="111313"/>
        </w:rPr>
        <w:t>study</w:t>
      </w:r>
      <w:r>
        <w:rPr>
          <w:color w:val="111313"/>
          <w:spacing w:val="40"/>
        </w:rPr>
        <w:t> </w:t>
      </w:r>
      <w:r>
        <w:rPr>
          <w:color w:val="111313"/>
        </w:rPr>
        <w:t>is</w:t>
      </w:r>
      <w:r>
        <w:rPr>
          <w:color w:val="111313"/>
          <w:spacing w:val="40"/>
        </w:rPr>
        <w:t> </w:t>
      </w:r>
      <w:r>
        <w:rPr>
          <w:color w:val="111313"/>
        </w:rPr>
        <w:t>to</w:t>
      </w:r>
      <w:r>
        <w:rPr>
          <w:color w:val="111313"/>
          <w:spacing w:val="40"/>
        </w:rPr>
        <w:t> </w:t>
      </w:r>
      <w:r>
        <w:rPr>
          <w:color w:val="111313"/>
        </w:rPr>
        <w:t>examme</w:t>
      </w:r>
      <w:r>
        <w:rPr>
          <w:color w:val="111313"/>
          <w:spacing w:val="40"/>
        </w:rPr>
        <w:t> </w:t>
      </w:r>
      <w:r>
        <w:rPr>
          <w:color w:val="111313"/>
        </w:rPr>
        <w:t>the</w:t>
      </w:r>
      <w:r>
        <w:rPr>
          <w:color w:val="111313"/>
          <w:spacing w:val="40"/>
        </w:rPr>
        <w:t> </w:t>
      </w:r>
      <w:r>
        <w:rPr>
          <w:color w:val="111313"/>
        </w:rPr>
        <w:t>relationship between training &amp; development (T&amp;D) initiatives and employee productivity in the ready-made garments (RMG) sector of Bangladesh.</w:t>
      </w:r>
      <w:r>
        <w:rPr>
          <w:color w:val="111313"/>
          <w:spacing w:val="34"/>
        </w:rPr>
        <w:t> </w:t>
      </w:r>
      <w:r>
        <w:rPr>
          <w:color w:val="111313"/>
        </w:rPr>
        <w:t>The focus has given to explore the mediating role of training motivation</w:t>
      </w:r>
      <w:r>
        <w:rPr>
          <w:color w:val="3B3838"/>
        </w:rPr>
        <w:t>.</w:t>
      </w:r>
    </w:p>
    <w:p>
      <w:pPr>
        <w:pStyle w:val="BodyText"/>
        <w:spacing w:line="285" w:lineRule="auto" w:before="100"/>
        <w:ind w:left="316" w:right="315" w:hanging="4"/>
        <w:jc w:val="both"/>
      </w:pPr>
      <w:r>
        <w:rPr>
          <w:b/>
          <w:color w:val="111313"/>
        </w:rPr>
        <w:t>Specific Objectives: </w:t>
      </w:r>
      <w:r>
        <w:rPr>
          <w:color w:val="111313"/>
        </w:rPr>
        <w:t>To assess the impact of training and development (T&amp;D) initiatives on employee productivity within the RMG sector of Bangladesh.</w:t>
      </w:r>
    </w:p>
    <w:p>
      <w:pPr>
        <w:pStyle w:val="BodyText"/>
        <w:spacing w:line="278" w:lineRule="auto" w:before="108"/>
        <w:ind w:left="1008" w:right="311" w:hanging="465"/>
        <w:jc w:val="both"/>
      </w:pPr>
      <w:r>
        <w:rPr>
          <w:color w:val="111313"/>
          <w:sz w:val="14"/>
        </w:rPr>
        <w:t>1.</w:t>
      </w:r>
      <w:r>
        <w:rPr>
          <w:color w:val="111313"/>
          <w:spacing w:val="80"/>
          <w:sz w:val="14"/>
        </w:rPr>
        <w:t>  </w:t>
      </w:r>
      <w:r>
        <w:rPr>
          <w:color w:val="111313"/>
        </w:rPr>
        <w:t>To</w:t>
      </w:r>
      <w:r>
        <w:rPr>
          <w:color w:val="111313"/>
          <w:spacing w:val="40"/>
        </w:rPr>
        <w:t> </w:t>
      </w:r>
      <w:r>
        <w:rPr>
          <w:color w:val="111313"/>
        </w:rPr>
        <w:t>identify</w:t>
      </w:r>
      <w:r>
        <w:rPr>
          <w:color w:val="111313"/>
          <w:spacing w:val="40"/>
        </w:rPr>
        <w:t> </w:t>
      </w:r>
      <w:r>
        <w:rPr>
          <w:color w:val="111313"/>
        </w:rPr>
        <w:t>the</w:t>
      </w:r>
      <w:r>
        <w:rPr>
          <w:color w:val="111313"/>
          <w:spacing w:val="40"/>
        </w:rPr>
        <w:t> </w:t>
      </w:r>
      <w:r>
        <w:rPr>
          <w:color w:val="111313"/>
        </w:rPr>
        <w:t>factors</w:t>
      </w:r>
      <w:r>
        <w:rPr>
          <w:color w:val="111313"/>
          <w:spacing w:val="40"/>
        </w:rPr>
        <w:t> </w:t>
      </w:r>
      <w:r>
        <w:rPr>
          <w:color w:val="111313"/>
        </w:rPr>
        <w:t>influencing</w:t>
      </w:r>
      <w:r>
        <w:rPr>
          <w:color w:val="111313"/>
          <w:spacing w:val="40"/>
        </w:rPr>
        <w:t> </w:t>
      </w:r>
      <w:r>
        <w:rPr>
          <w:color w:val="111313"/>
        </w:rPr>
        <w:t>Training</w:t>
      </w:r>
      <w:r>
        <w:rPr>
          <w:color w:val="111313"/>
          <w:spacing w:val="40"/>
        </w:rPr>
        <w:t> </w:t>
      </w:r>
      <w:r>
        <w:rPr>
          <w:color w:val="111313"/>
        </w:rPr>
        <w:t>Motivation</w:t>
      </w:r>
      <w:r>
        <w:rPr>
          <w:color w:val="111313"/>
          <w:spacing w:val="40"/>
        </w:rPr>
        <w:t> </w:t>
      </w:r>
      <w:r>
        <w:rPr>
          <w:color w:val="111313"/>
        </w:rPr>
        <w:t>among</w:t>
      </w:r>
      <w:r>
        <w:rPr>
          <w:color w:val="111313"/>
          <w:spacing w:val="40"/>
        </w:rPr>
        <w:t> </w:t>
      </w:r>
      <w:r>
        <w:rPr>
          <w:color w:val="111313"/>
        </w:rPr>
        <w:t>employees</w:t>
      </w:r>
      <w:r>
        <w:rPr>
          <w:color w:val="111313"/>
          <w:spacing w:val="40"/>
        </w:rPr>
        <w:t> </w:t>
      </w:r>
      <w:r>
        <w:rPr>
          <w:color w:val="111313"/>
        </w:rPr>
        <w:t>in</w:t>
      </w:r>
      <w:r>
        <w:rPr>
          <w:color w:val="111313"/>
          <w:spacing w:val="40"/>
        </w:rPr>
        <w:t> </w:t>
      </w:r>
      <w:r>
        <w:rPr>
          <w:color w:val="111313"/>
        </w:rPr>
        <w:t>the RMG industry</w:t>
      </w:r>
      <w:r>
        <w:rPr>
          <w:color w:val="3B3838"/>
        </w:rPr>
        <w:t>, </w:t>
      </w:r>
      <w:r>
        <w:rPr>
          <w:color w:val="111313"/>
        </w:rPr>
        <w:t>including perceived relevance of training programs</w:t>
      </w:r>
      <w:r>
        <w:rPr>
          <w:color w:val="3B3838"/>
        </w:rPr>
        <w:t>, </w:t>
      </w:r>
      <w:r>
        <w:rPr>
          <w:color w:val="111313"/>
        </w:rPr>
        <w:t>organizational support</w:t>
      </w:r>
      <w:r>
        <w:rPr>
          <w:color w:val="3B3838"/>
        </w:rPr>
        <w:t>, </w:t>
      </w:r>
      <w:r>
        <w:rPr>
          <w:color w:val="111313"/>
        </w:rPr>
        <w:t>and individual characteristics.</w:t>
      </w:r>
    </w:p>
    <w:p>
      <w:pPr>
        <w:pStyle w:val="BodyText"/>
        <w:spacing w:line="276" w:lineRule="auto" w:before="63"/>
        <w:ind w:left="1012" w:right="326" w:hanging="532"/>
        <w:jc w:val="both"/>
      </w:pPr>
      <w:r>
        <w:rPr>
          <w:color w:val="111313"/>
          <w:sz w:val="14"/>
        </w:rPr>
        <w:t>11.</w:t>
      </w:r>
      <w:r>
        <w:rPr>
          <w:color w:val="111313"/>
          <w:spacing w:val="80"/>
          <w:sz w:val="14"/>
        </w:rPr>
        <w:t>  </w:t>
      </w:r>
      <w:r>
        <w:rPr>
          <w:color w:val="111313"/>
        </w:rPr>
        <w:t>To</w:t>
      </w:r>
      <w:r>
        <w:rPr>
          <w:color w:val="111313"/>
          <w:spacing w:val="40"/>
        </w:rPr>
        <w:t> </w:t>
      </w:r>
      <w:r>
        <w:rPr>
          <w:color w:val="111313"/>
        </w:rPr>
        <w:t>investigate</w:t>
      </w:r>
      <w:r>
        <w:rPr>
          <w:color w:val="111313"/>
          <w:spacing w:val="40"/>
        </w:rPr>
        <w:t> </w:t>
      </w:r>
      <w:r>
        <w:rPr>
          <w:color w:val="111313"/>
        </w:rPr>
        <w:t>the</w:t>
      </w:r>
      <w:r>
        <w:rPr>
          <w:color w:val="111313"/>
          <w:spacing w:val="40"/>
        </w:rPr>
        <w:t> </w:t>
      </w:r>
      <w:r>
        <w:rPr>
          <w:color w:val="111313"/>
        </w:rPr>
        <w:t>mediating</w:t>
      </w:r>
      <w:r>
        <w:rPr>
          <w:color w:val="111313"/>
          <w:spacing w:val="40"/>
        </w:rPr>
        <w:t> </w:t>
      </w:r>
      <w:r>
        <w:rPr>
          <w:color w:val="111313"/>
        </w:rPr>
        <w:t>effect</w:t>
      </w:r>
      <w:r>
        <w:rPr>
          <w:color w:val="111313"/>
          <w:spacing w:val="40"/>
        </w:rPr>
        <w:t> </w:t>
      </w:r>
      <w:r>
        <w:rPr>
          <w:color w:val="111313"/>
        </w:rPr>
        <w:t>of</w:t>
      </w:r>
      <w:r>
        <w:rPr>
          <w:color w:val="111313"/>
          <w:spacing w:val="40"/>
        </w:rPr>
        <w:t> </w:t>
      </w:r>
      <w:r>
        <w:rPr>
          <w:color w:val="111313"/>
        </w:rPr>
        <w:t>Training</w:t>
      </w:r>
      <w:r>
        <w:rPr>
          <w:color w:val="111313"/>
          <w:spacing w:val="40"/>
        </w:rPr>
        <w:t> </w:t>
      </w:r>
      <w:r>
        <w:rPr>
          <w:color w:val="111313"/>
        </w:rPr>
        <w:t>Motivation</w:t>
      </w:r>
      <w:r>
        <w:rPr>
          <w:color w:val="111313"/>
          <w:spacing w:val="40"/>
        </w:rPr>
        <w:t> </w:t>
      </w:r>
      <w:r>
        <w:rPr>
          <w:color w:val="111313"/>
        </w:rPr>
        <w:t>on</w:t>
      </w:r>
      <w:r>
        <w:rPr>
          <w:color w:val="111313"/>
          <w:spacing w:val="40"/>
        </w:rPr>
        <w:t> </w:t>
      </w:r>
      <w:r>
        <w:rPr>
          <w:color w:val="111313"/>
        </w:rPr>
        <w:t>the</w:t>
      </w:r>
      <w:r>
        <w:rPr>
          <w:color w:val="111313"/>
          <w:spacing w:val="40"/>
        </w:rPr>
        <w:t> </w:t>
      </w:r>
      <w:r>
        <w:rPr>
          <w:color w:val="111313"/>
        </w:rPr>
        <w:t>relationship between T&amp;D initiatives and Employee Productivity.</w:t>
      </w:r>
    </w:p>
    <w:p>
      <w:pPr>
        <w:pStyle w:val="BodyText"/>
        <w:spacing w:line="280" w:lineRule="auto" w:before="60"/>
        <w:ind w:left="1009" w:right="313" w:hanging="586"/>
        <w:jc w:val="both"/>
      </w:pPr>
      <w:r>
        <w:rPr>
          <w:color w:val="111313"/>
          <w:sz w:val="14"/>
        </w:rPr>
        <w:t>111.</w:t>
      </w:r>
      <w:r>
        <w:rPr>
          <w:color w:val="111313"/>
          <w:spacing w:val="80"/>
          <w:w w:val="150"/>
          <w:sz w:val="14"/>
        </w:rPr>
        <w:t> </w:t>
      </w:r>
      <w:r>
        <w:rPr>
          <w:color w:val="111313"/>
        </w:rPr>
        <w:t>Based on the findings of this research recommendations would be suggested for enhancing the effectiveness of T&amp;D strategies and improving employee productivity</w:t>
      </w:r>
      <w:r>
        <w:rPr>
          <w:color w:val="111313"/>
          <w:spacing w:val="40"/>
        </w:rPr>
        <w:t> </w:t>
      </w:r>
      <w:r>
        <w:rPr>
          <w:color w:val="111313"/>
        </w:rPr>
        <w:t>in the RMG sector of Bangladesh.</w:t>
      </w:r>
    </w:p>
    <w:p>
      <w:pPr>
        <w:pStyle w:val="ListParagraph"/>
        <w:numPr>
          <w:ilvl w:val="0"/>
          <w:numId w:val="1"/>
        </w:numPr>
        <w:tabs>
          <w:tab w:pos="531" w:val="left" w:leader="none"/>
        </w:tabs>
        <w:spacing w:line="240" w:lineRule="auto" w:before="99" w:after="0"/>
        <w:ind w:left="531" w:right="0" w:hanging="215"/>
        <w:jc w:val="both"/>
        <w:rPr>
          <w:b/>
          <w:color w:val="111313"/>
          <w:sz w:val="21"/>
        </w:rPr>
      </w:pPr>
      <w:r>
        <w:rPr>
          <w:b/>
          <w:color w:val="111313"/>
          <w:sz w:val="21"/>
        </w:rPr>
        <w:t>Conceptual</w:t>
      </w:r>
      <w:r>
        <w:rPr>
          <w:b/>
          <w:color w:val="111313"/>
          <w:spacing w:val="1"/>
          <w:sz w:val="21"/>
        </w:rPr>
        <w:t> </w:t>
      </w:r>
      <w:r>
        <w:rPr>
          <w:b/>
          <w:color w:val="111313"/>
          <w:spacing w:val="-2"/>
          <w:sz w:val="21"/>
        </w:rPr>
        <w:t>Framework</w:t>
      </w:r>
    </w:p>
    <w:p>
      <w:pPr>
        <w:pStyle w:val="BodyText"/>
        <w:spacing w:line="276" w:lineRule="auto" w:before="148"/>
        <w:ind w:left="315" w:right="324" w:hanging="3"/>
        <w:jc w:val="both"/>
      </w:pPr>
      <w:r>
        <w:rPr>
          <w:color w:val="111313"/>
        </w:rPr>
        <w:t>The conceptual framework for examining the relationship between Training &amp; Development (T&amp;D), Training Motivation, and Employee Productivity in the Ready-made Garments</w:t>
      </w:r>
      <w:r>
        <w:rPr>
          <w:color w:val="111313"/>
          <w:spacing w:val="80"/>
        </w:rPr>
        <w:t> </w:t>
      </w:r>
      <w:r>
        <w:rPr>
          <w:color w:val="111313"/>
        </w:rPr>
        <w:t>(RMG)</w:t>
      </w:r>
      <w:r>
        <w:rPr>
          <w:color w:val="111313"/>
          <w:spacing w:val="65"/>
        </w:rPr>
        <w:t> </w:t>
      </w:r>
      <w:r>
        <w:rPr>
          <w:color w:val="111313"/>
        </w:rPr>
        <w:t>sector</w:t>
      </w:r>
      <w:r>
        <w:rPr>
          <w:color w:val="111313"/>
          <w:spacing w:val="66"/>
        </w:rPr>
        <w:t> </w:t>
      </w:r>
      <w:r>
        <w:rPr>
          <w:color w:val="111313"/>
        </w:rPr>
        <w:t>of</w:t>
      </w:r>
      <w:r>
        <w:rPr>
          <w:color w:val="111313"/>
          <w:spacing w:val="40"/>
        </w:rPr>
        <w:t> </w:t>
      </w:r>
      <w:r>
        <w:rPr>
          <w:color w:val="111313"/>
        </w:rPr>
        <w:t>Bangladesh</w:t>
      </w:r>
      <w:r>
        <w:rPr>
          <w:color w:val="111313"/>
          <w:spacing w:val="74"/>
        </w:rPr>
        <w:t> </w:t>
      </w:r>
      <w:r>
        <w:rPr>
          <w:color w:val="111313"/>
        </w:rPr>
        <w:t>posits</w:t>
      </w:r>
      <w:r>
        <w:rPr>
          <w:color w:val="111313"/>
          <w:spacing w:val="67"/>
        </w:rPr>
        <w:t> </w:t>
      </w:r>
      <w:r>
        <w:rPr>
          <w:color w:val="111313"/>
        </w:rPr>
        <w:t>that</w:t>
      </w:r>
      <w:r>
        <w:rPr>
          <w:color w:val="111313"/>
          <w:spacing w:val="61"/>
        </w:rPr>
        <w:t> </w:t>
      </w:r>
      <w:r>
        <w:rPr>
          <w:color w:val="111313"/>
        </w:rPr>
        <w:t>T&amp;D</w:t>
      </w:r>
      <w:r>
        <w:rPr>
          <w:color w:val="111313"/>
          <w:spacing w:val="64"/>
        </w:rPr>
        <w:t> </w:t>
      </w:r>
      <w:r>
        <w:rPr>
          <w:color w:val="111313"/>
        </w:rPr>
        <w:t>initiatives</w:t>
      </w:r>
      <w:r>
        <w:rPr>
          <w:color w:val="111313"/>
          <w:spacing w:val="66"/>
        </w:rPr>
        <w:t> </w:t>
      </w:r>
      <w:r>
        <w:rPr>
          <w:color w:val="111313"/>
        </w:rPr>
        <w:t>positively</w:t>
      </w:r>
      <w:r>
        <w:rPr>
          <w:color w:val="111313"/>
          <w:spacing w:val="70"/>
        </w:rPr>
        <w:t> </w:t>
      </w:r>
      <w:r>
        <w:rPr>
          <w:color w:val="111313"/>
        </w:rPr>
        <w:t>influence</w:t>
      </w:r>
      <w:r>
        <w:rPr>
          <w:color w:val="111313"/>
          <w:spacing w:val="67"/>
        </w:rPr>
        <w:t> </w:t>
      </w:r>
      <w:r>
        <w:rPr>
          <w:color w:val="111313"/>
        </w:rPr>
        <w:t>employee</w:t>
      </w:r>
    </w:p>
    <w:p>
      <w:pPr>
        <w:pStyle w:val="BodyText"/>
      </w:pPr>
    </w:p>
    <w:p>
      <w:pPr>
        <w:pStyle w:val="BodyText"/>
      </w:pPr>
    </w:p>
    <w:p>
      <w:pPr>
        <w:pStyle w:val="BodyText"/>
        <w:spacing w:before="113"/>
      </w:pPr>
    </w:p>
    <w:p>
      <w:pPr>
        <w:spacing w:before="0"/>
        <w:ind w:left="854" w:right="823" w:firstLine="0"/>
        <w:jc w:val="center"/>
        <w:rPr>
          <w:sz w:val="17"/>
        </w:rPr>
      </w:pPr>
      <w:r>
        <w:rPr>
          <w:color w:val="3B3838"/>
          <w:spacing w:val="-5"/>
          <w:w w:val="105"/>
          <w:sz w:val="17"/>
        </w:rPr>
        <w:t>62</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63" w:id="7"/>
      <w:bookmarkEnd w:id="7"/>
      <w:r>
        <w:rPr/>
      </w:r>
      <w:r>
        <w:rPr>
          <w:i/>
          <w:color w:val="3B3838"/>
          <w:sz w:val="18"/>
        </w:rPr>
        <w:t>Mahbub</w:t>
      </w:r>
      <w:r>
        <w:rPr>
          <w:i/>
          <w:color w:val="565454"/>
          <w:sz w:val="18"/>
        </w:rPr>
        <w:t>/</w:t>
      </w:r>
      <w:r>
        <w:rPr>
          <w:i/>
          <w:color w:val="3B3838"/>
          <w:sz w:val="18"/>
        </w:rPr>
        <w:t>Comilla</w:t>
      </w:r>
      <w:r>
        <w:rPr>
          <w:i/>
          <w:color w:val="3B3838"/>
          <w:spacing w:val="-12"/>
          <w:sz w:val="18"/>
        </w:rPr>
        <w:t> </w:t>
      </w:r>
      <w:r>
        <w:rPr>
          <w:i/>
          <w:color w:val="3B3838"/>
          <w:sz w:val="18"/>
        </w:rPr>
        <w:t>Un</w:t>
      </w:r>
      <w:r>
        <w:rPr>
          <w:i/>
          <w:color w:val="111313"/>
          <w:sz w:val="18"/>
        </w:rPr>
        <w:t>i</w:t>
      </w:r>
      <w:r>
        <w:rPr>
          <w:i/>
          <w:color w:val="3B3838"/>
          <w:sz w:val="18"/>
        </w:rPr>
        <w:t>versity</w:t>
      </w:r>
      <w:r>
        <w:rPr>
          <w:i/>
          <w:color w:val="3B3838"/>
          <w:spacing w:val="-11"/>
          <w:sz w:val="18"/>
        </w:rPr>
        <w:t> </w:t>
      </w:r>
      <w:r>
        <w:rPr>
          <w:i/>
          <w:color w:val="3B3838"/>
          <w:sz w:val="18"/>
        </w:rPr>
        <w:t>Journal</w:t>
      </w:r>
      <w:r>
        <w:rPr>
          <w:i/>
          <w:color w:val="3B3838"/>
          <w:spacing w:val="-3"/>
          <w:sz w:val="18"/>
        </w:rPr>
        <w:t> </w:t>
      </w:r>
      <w:r>
        <w:rPr>
          <w:i/>
          <w:color w:val="3B3838"/>
          <w:sz w:val="18"/>
        </w:rPr>
        <w:t>of</w:t>
      </w:r>
      <w:r>
        <w:rPr>
          <w:i/>
          <w:color w:val="3B3838"/>
          <w:spacing w:val="-4"/>
          <w:sz w:val="18"/>
        </w:rPr>
        <w:t> </w:t>
      </w:r>
      <w:r>
        <w:rPr>
          <w:i/>
          <w:color w:val="3B3838"/>
          <w:sz w:val="18"/>
        </w:rPr>
        <w:t>Business</w:t>
      </w:r>
      <w:r>
        <w:rPr>
          <w:i/>
          <w:color w:val="3B3838"/>
          <w:spacing w:val="-1"/>
          <w:sz w:val="18"/>
        </w:rPr>
        <w:t> </w:t>
      </w:r>
      <w:r>
        <w:rPr>
          <w:i/>
          <w:color w:val="3B3838"/>
          <w:sz w:val="18"/>
        </w:rPr>
        <w:t>Studies</w:t>
      </w:r>
      <w:r>
        <w:rPr>
          <w:i/>
          <w:color w:val="3B3838"/>
          <w:spacing w:val="53"/>
          <w:sz w:val="18"/>
        </w:rPr>
        <w:t> </w:t>
      </w:r>
      <w:r>
        <w:rPr>
          <w:i/>
          <w:color w:val="111313"/>
          <w:sz w:val="18"/>
        </w:rPr>
        <w:t>IO</w:t>
      </w:r>
      <w:r>
        <w:rPr>
          <w:i/>
          <w:color w:val="111313"/>
          <w:spacing w:val="-11"/>
          <w:sz w:val="18"/>
        </w:rPr>
        <w:t> </w:t>
      </w:r>
      <w:r>
        <w:rPr>
          <w:i/>
          <w:color w:val="3B3838"/>
          <w:sz w:val="18"/>
        </w:rPr>
        <w:t>(2023)</w:t>
      </w:r>
      <w:r>
        <w:rPr>
          <w:i/>
          <w:color w:val="3B3838"/>
          <w:spacing w:val="-7"/>
          <w:sz w:val="18"/>
        </w:rPr>
        <w:t> </w:t>
      </w:r>
      <w:r>
        <w:rPr>
          <w:i/>
          <w:color w:val="3B3838"/>
          <w:sz w:val="18"/>
        </w:rPr>
        <w:t>5</w:t>
      </w:r>
      <w:r>
        <w:rPr>
          <w:color w:val="3B3838"/>
          <w:sz w:val="17"/>
        </w:rPr>
        <w:t>7</w:t>
      </w:r>
      <w:r>
        <w:rPr>
          <w:color w:val="111313"/>
          <w:sz w:val="17"/>
        </w:rPr>
        <w:t>-</w:t>
      </w:r>
      <w:r>
        <w:rPr>
          <w:i/>
          <w:color w:val="3B3838"/>
          <w:spacing w:val="-7"/>
          <w:sz w:val="18"/>
        </w:rPr>
        <w:t>77</w:t>
      </w:r>
    </w:p>
    <w:p>
      <w:pPr>
        <w:pStyle w:val="BodyText"/>
        <w:spacing w:before="149"/>
        <w:rPr>
          <w:i/>
          <w:sz w:val="18"/>
        </w:rPr>
      </w:pPr>
    </w:p>
    <w:p>
      <w:pPr>
        <w:pStyle w:val="BodyText"/>
        <w:spacing w:line="276" w:lineRule="auto"/>
        <w:ind w:left="181" w:firstLine="4"/>
      </w:pPr>
      <w:r>
        <w:rPr>
          <w:color w:val="111313"/>
        </w:rPr>
        <w:t>productivity,</w:t>
      </w:r>
      <w:r>
        <w:rPr>
          <w:color w:val="111313"/>
          <w:spacing w:val="40"/>
        </w:rPr>
        <w:t> </w:t>
      </w:r>
      <w:r>
        <w:rPr>
          <w:color w:val="111313"/>
        </w:rPr>
        <w:t>with</w:t>
      </w:r>
      <w:r>
        <w:rPr>
          <w:color w:val="111313"/>
          <w:spacing w:val="30"/>
        </w:rPr>
        <w:t> </w:t>
      </w:r>
      <w:r>
        <w:rPr>
          <w:color w:val="111313"/>
        </w:rPr>
        <w:t>training</w:t>
      </w:r>
      <w:r>
        <w:rPr>
          <w:color w:val="111313"/>
          <w:spacing w:val="26"/>
        </w:rPr>
        <w:t> </w:t>
      </w:r>
      <w:r>
        <w:rPr>
          <w:color w:val="111313"/>
        </w:rPr>
        <w:t>motivation</w:t>
      </w:r>
      <w:r>
        <w:rPr>
          <w:color w:val="111313"/>
          <w:spacing w:val="39"/>
        </w:rPr>
        <w:t> </w:t>
      </w:r>
      <w:r>
        <w:rPr>
          <w:color w:val="111313"/>
        </w:rPr>
        <w:t>serving as a crucial</w:t>
      </w:r>
      <w:r>
        <w:rPr>
          <w:color w:val="111313"/>
          <w:spacing w:val="33"/>
        </w:rPr>
        <w:t> </w:t>
      </w:r>
      <w:r>
        <w:rPr>
          <w:color w:val="111313"/>
        </w:rPr>
        <w:t>mediating factor. The conceptual framework is as follows:</w:t>
      </w:r>
    </w:p>
    <w:p>
      <w:pPr>
        <w:pStyle w:val="BodyText"/>
        <w:spacing w:before="96"/>
        <w:rPr>
          <w:sz w:val="20"/>
        </w:rPr>
      </w:pPr>
      <w:r>
        <w:rPr>
          <w:sz w:val="20"/>
        </w:rPr>
        <mc:AlternateContent>
          <mc:Choice Requires="wps">
            <w:drawing>
              <wp:anchor distT="0" distB="0" distL="0" distR="0" allowOverlap="1" layoutInCell="1" locked="0" behindDoc="1" simplePos="0" relativeHeight="487588352">
                <wp:simplePos x="0" y="0"/>
                <wp:positionH relativeFrom="page">
                  <wp:posOffset>1149465</wp:posOffset>
                </wp:positionH>
                <wp:positionV relativeFrom="paragraph">
                  <wp:posOffset>222473</wp:posOffset>
                </wp:positionV>
                <wp:extent cx="5137150" cy="1881505"/>
                <wp:effectExtent l="0" t="0" r="0" b="0"/>
                <wp:wrapTopAndBottom/>
                <wp:docPr id="2" name="Group 2"/>
                <wp:cNvGraphicFramePr>
                  <a:graphicFrameLocks/>
                </wp:cNvGraphicFramePr>
                <a:graphic>
                  <a:graphicData uri="http://schemas.microsoft.com/office/word/2010/wordprocessingGroup">
                    <wpg:wgp>
                      <wpg:cNvPr id="2" name="Group 2"/>
                      <wpg:cNvGrpSpPr/>
                      <wpg:grpSpPr>
                        <a:xfrm>
                          <a:off x="0" y="0"/>
                          <a:ext cx="5137150" cy="1881505"/>
                          <a:chExt cx="5137150" cy="1881505"/>
                        </a:xfrm>
                      </wpg:grpSpPr>
                      <pic:pic>
                        <pic:nvPicPr>
                          <pic:cNvPr id="3" name="Image 3"/>
                          <pic:cNvPicPr/>
                        </pic:nvPicPr>
                        <pic:blipFill>
                          <a:blip r:embed="rId5" cstate="print"/>
                          <a:stretch>
                            <a:fillRect/>
                          </a:stretch>
                        </pic:blipFill>
                        <pic:spPr>
                          <a:xfrm>
                            <a:off x="0" y="0"/>
                            <a:ext cx="5137034" cy="1881078"/>
                          </a:xfrm>
                          <a:prstGeom prst="rect">
                            <a:avLst/>
                          </a:prstGeom>
                        </pic:spPr>
                      </pic:pic>
                      <wps:wsp>
                        <wps:cNvPr id="4" name="Textbox 4"/>
                        <wps:cNvSpPr txBox="1"/>
                        <wps:spPr>
                          <a:xfrm>
                            <a:off x="555151" y="1328028"/>
                            <a:ext cx="662940" cy="295910"/>
                          </a:xfrm>
                          <a:prstGeom prst="rect">
                            <a:avLst/>
                          </a:prstGeom>
                        </wps:spPr>
                        <wps:txbx>
                          <w:txbxContent>
                            <w:p>
                              <w:pPr>
                                <w:spacing w:line="211" w:lineRule="exact" w:before="0"/>
                                <w:ind w:left="88" w:right="0" w:firstLine="0"/>
                                <w:jc w:val="left"/>
                                <w:rPr>
                                  <w:sz w:val="19"/>
                                </w:rPr>
                              </w:pPr>
                              <w:r>
                                <w:rPr>
                                  <w:color w:val="111313"/>
                                  <w:sz w:val="19"/>
                                </w:rPr>
                                <w:t>Training</w:t>
                              </w:r>
                              <w:r>
                                <w:rPr>
                                  <w:color w:val="111313"/>
                                  <w:spacing w:val="12"/>
                                  <w:sz w:val="19"/>
                                </w:rPr>
                                <w:t> </w:t>
                              </w:r>
                              <w:r>
                                <w:rPr>
                                  <w:color w:val="111313"/>
                                  <w:spacing w:val="-10"/>
                                  <w:sz w:val="19"/>
                                </w:rPr>
                                <w:t>&amp;</w:t>
                              </w:r>
                            </w:p>
                            <w:p>
                              <w:pPr>
                                <w:spacing w:before="36"/>
                                <w:ind w:left="0" w:right="0" w:firstLine="0"/>
                                <w:jc w:val="left"/>
                                <w:rPr>
                                  <w:sz w:val="19"/>
                                </w:rPr>
                              </w:pPr>
                              <w:r>
                                <w:rPr>
                                  <w:color w:val="111313"/>
                                  <w:spacing w:val="-2"/>
                                  <w:sz w:val="19"/>
                                </w:rPr>
                                <w:t>Development</w:t>
                              </w:r>
                            </w:p>
                          </w:txbxContent>
                        </wps:txbx>
                        <wps:bodyPr wrap="square" lIns="0" tIns="0" rIns="0" bIns="0" rtlCol="0">
                          <a:noAutofit/>
                        </wps:bodyPr>
                      </wps:wsp>
                    </wpg:wgp>
                  </a:graphicData>
                </a:graphic>
              </wp:anchor>
            </w:drawing>
          </mc:Choice>
          <mc:Fallback>
            <w:pict>
              <v:group style="position:absolute;margin-left:90.509102pt;margin-top:17.517616pt;width:404.5pt;height:148.15pt;mso-position-horizontal-relative:page;mso-position-vertical-relative:paragraph;z-index:-15728128;mso-wrap-distance-left:0;mso-wrap-distance-right:0" id="docshapegroup2" coordorigin="1810,350" coordsize="8090,2963">
                <v:shape style="position:absolute;left:1810;top:350;width:8090;height:2963" type="#_x0000_t75" id="docshape3" stroked="false">
                  <v:imagedata r:id="rId5" o:title=""/>
                </v:shape>
                <v:shapetype id="_x0000_t202" o:spt="202" coordsize="21600,21600" path="m,l,21600r21600,l21600,xe">
                  <v:stroke joinstyle="miter"/>
                  <v:path gradientshapeok="t" o:connecttype="rect"/>
                </v:shapetype>
                <v:shape style="position:absolute;left:2684;top:2441;width:1044;height:466" type="#_x0000_t202" id="docshape4" filled="false" stroked="false">
                  <v:textbox inset="0,0,0,0">
                    <w:txbxContent>
                      <w:p>
                        <w:pPr>
                          <w:spacing w:line="211" w:lineRule="exact" w:before="0"/>
                          <w:ind w:left="88" w:right="0" w:firstLine="0"/>
                          <w:jc w:val="left"/>
                          <w:rPr>
                            <w:sz w:val="19"/>
                          </w:rPr>
                        </w:pPr>
                        <w:r>
                          <w:rPr>
                            <w:color w:val="111313"/>
                            <w:sz w:val="19"/>
                          </w:rPr>
                          <w:t>Training</w:t>
                        </w:r>
                        <w:r>
                          <w:rPr>
                            <w:color w:val="111313"/>
                            <w:spacing w:val="12"/>
                            <w:sz w:val="19"/>
                          </w:rPr>
                          <w:t> </w:t>
                        </w:r>
                        <w:r>
                          <w:rPr>
                            <w:color w:val="111313"/>
                            <w:spacing w:val="-10"/>
                            <w:sz w:val="19"/>
                          </w:rPr>
                          <w:t>&amp;</w:t>
                        </w:r>
                      </w:p>
                      <w:p>
                        <w:pPr>
                          <w:spacing w:before="36"/>
                          <w:ind w:left="0" w:right="0" w:firstLine="0"/>
                          <w:jc w:val="left"/>
                          <w:rPr>
                            <w:sz w:val="19"/>
                          </w:rPr>
                        </w:pPr>
                        <w:r>
                          <w:rPr>
                            <w:color w:val="111313"/>
                            <w:spacing w:val="-2"/>
                            <w:sz w:val="19"/>
                          </w:rPr>
                          <w:t>Development</w:t>
                        </w:r>
                      </w:p>
                    </w:txbxContent>
                  </v:textbox>
                  <w10:wrap type="none"/>
                </v:shape>
                <w10:wrap type="topAndBottom"/>
              </v:group>
            </w:pict>
          </mc:Fallback>
        </mc:AlternateContent>
      </w:r>
    </w:p>
    <w:p>
      <w:pPr>
        <w:pStyle w:val="BodyText"/>
        <w:spacing w:before="62"/>
      </w:pPr>
    </w:p>
    <w:p>
      <w:pPr>
        <w:spacing w:before="0"/>
        <w:ind w:left="0" w:right="281" w:firstLine="0"/>
        <w:jc w:val="center"/>
        <w:rPr>
          <w:sz w:val="21"/>
        </w:rPr>
      </w:pPr>
      <w:r>
        <w:rPr>
          <w:b/>
          <w:color w:val="111313"/>
          <w:spacing w:val="-2"/>
          <w:w w:val="105"/>
          <w:sz w:val="20"/>
        </w:rPr>
        <w:t>Figure 01:</w:t>
      </w:r>
      <w:r>
        <w:rPr>
          <w:b/>
          <w:color w:val="111313"/>
          <w:spacing w:val="-6"/>
          <w:w w:val="105"/>
          <w:sz w:val="20"/>
        </w:rPr>
        <w:t> </w:t>
      </w:r>
      <w:r>
        <w:rPr>
          <w:color w:val="111313"/>
          <w:spacing w:val="-2"/>
          <w:w w:val="105"/>
          <w:sz w:val="21"/>
        </w:rPr>
        <w:t>Conceptual</w:t>
      </w:r>
      <w:r>
        <w:rPr>
          <w:color w:val="111313"/>
          <w:spacing w:val="6"/>
          <w:w w:val="105"/>
          <w:sz w:val="21"/>
        </w:rPr>
        <w:t> </w:t>
      </w:r>
      <w:r>
        <w:rPr>
          <w:color w:val="111313"/>
          <w:spacing w:val="-2"/>
          <w:w w:val="105"/>
          <w:sz w:val="21"/>
        </w:rPr>
        <w:t>Framework</w:t>
      </w:r>
    </w:p>
    <w:p>
      <w:pPr>
        <w:pStyle w:val="ListParagraph"/>
        <w:numPr>
          <w:ilvl w:val="0"/>
          <w:numId w:val="1"/>
        </w:numPr>
        <w:tabs>
          <w:tab w:pos="396" w:val="left" w:leader="none"/>
        </w:tabs>
        <w:spacing w:line="240" w:lineRule="auto" w:before="162" w:after="0"/>
        <w:ind w:left="396" w:right="0" w:hanging="213"/>
        <w:jc w:val="left"/>
        <w:rPr>
          <w:b/>
          <w:color w:val="111313"/>
          <w:sz w:val="20"/>
        </w:rPr>
      </w:pPr>
      <w:r>
        <w:rPr>
          <w:b/>
          <w:color w:val="111313"/>
          <w:w w:val="105"/>
          <w:sz w:val="20"/>
        </w:rPr>
        <w:t>Research</w:t>
      </w:r>
      <w:r>
        <w:rPr>
          <w:b/>
          <w:color w:val="111313"/>
          <w:spacing w:val="5"/>
          <w:w w:val="105"/>
          <w:sz w:val="20"/>
        </w:rPr>
        <w:t> </w:t>
      </w:r>
      <w:r>
        <w:rPr>
          <w:b/>
          <w:color w:val="111313"/>
          <w:spacing w:val="-2"/>
          <w:w w:val="105"/>
          <w:sz w:val="20"/>
        </w:rPr>
        <w:t>Methodology</w:t>
      </w:r>
    </w:p>
    <w:p>
      <w:pPr>
        <w:pStyle w:val="BodyText"/>
        <w:spacing w:line="278" w:lineRule="auto" w:before="145"/>
        <w:ind w:left="181" w:right="444" w:firstLine="2"/>
        <w:jc w:val="both"/>
      </w:pPr>
      <w:r>
        <w:rPr>
          <w:color w:val="111313"/>
        </w:rPr>
        <w:t>The research methodology employed in this study involves a mixed-method approach, combining quantitative and qualitative techniques to comprehensively investigate the relationship between training &amp; development (T&amp;D) initiatives, employee productivity</w:t>
      </w:r>
      <w:r>
        <w:rPr>
          <w:color w:val="3B3838"/>
        </w:rPr>
        <w:t>, </w:t>
      </w:r>
      <w:r>
        <w:rPr>
          <w:color w:val="111313"/>
        </w:rPr>
        <w:t>and</w:t>
      </w:r>
      <w:r>
        <w:rPr>
          <w:color w:val="111313"/>
          <w:spacing w:val="40"/>
        </w:rPr>
        <w:t> </w:t>
      </w:r>
      <w:r>
        <w:rPr>
          <w:color w:val="111313"/>
        </w:rPr>
        <w:t>the mediating role of training motivation within the ready-made garments (RMG) sector of </w:t>
      </w:r>
      <w:r>
        <w:rPr>
          <w:color w:val="111313"/>
          <w:spacing w:val="-2"/>
        </w:rPr>
        <w:t>Bangladesh.</w:t>
      </w:r>
    </w:p>
    <w:p>
      <w:pPr>
        <w:pStyle w:val="ListParagraph"/>
        <w:numPr>
          <w:ilvl w:val="1"/>
          <w:numId w:val="1"/>
        </w:numPr>
        <w:tabs>
          <w:tab w:pos="529" w:val="left" w:leader="none"/>
        </w:tabs>
        <w:spacing w:line="240" w:lineRule="auto" w:before="104" w:after="0"/>
        <w:ind w:left="529" w:right="0" w:hanging="344"/>
        <w:jc w:val="both"/>
        <w:rPr>
          <w:i/>
          <w:color w:val="111313"/>
          <w:sz w:val="21"/>
        </w:rPr>
      </w:pPr>
      <w:r>
        <w:rPr>
          <w:i/>
          <w:color w:val="111313"/>
          <w:sz w:val="21"/>
        </w:rPr>
        <w:t>Research</w:t>
      </w:r>
      <w:r>
        <w:rPr>
          <w:i/>
          <w:color w:val="111313"/>
          <w:spacing w:val="9"/>
          <w:sz w:val="21"/>
        </w:rPr>
        <w:t> </w:t>
      </w:r>
      <w:r>
        <w:rPr>
          <w:i/>
          <w:color w:val="111313"/>
          <w:spacing w:val="-2"/>
          <w:sz w:val="21"/>
        </w:rPr>
        <w:t>Approach</w:t>
      </w:r>
    </w:p>
    <w:p>
      <w:pPr>
        <w:pStyle w:val="BodyText"/>
        <w:spacing w:line="278" w:lineRule="auto" w:before="148"/>
        <w:ind w:left="181" w:right="446" w:firstLine="2"/>
        <w:jc w:val="both"/>
      </w:pPr>
      <w:r>
        <w:rPr>
          <w:color w:val="111313"/>
        </w:rPr>
        <w:t>The research</w:t>
      </w:r>
      <w:r>
        <w:rPr>
          <w:color w:val="111313"/>
          <w:spacing w:val="40"/>
        </w:rPr>
        <w:t> </w:t>
      </w:r>
      <w:r>
        <w:rPr>
          <w:color w:val="111313"/>
        </w:rPr>
        <w:t>approach</w:t>
      </w:r>
      <w:r>
        <w:rPr>
          <w:color w:val="111313"/>
          <w:spacing w:val="40"/>
        </w:rPr>
        <w:t> </w:t>
      </w:r>
      <w:r>
        <w:rPr>
          <w:color w:val="111313"/>
        </w:rPr>
        <w:t>for exammmg</w:t>
      </w:r>
      <w:r>
        <w:rPr>
          <w:color w:val="111313"/>
          <w:spacing w:val="40"/>
        </w:rPr>
        <w:t> </w:t>
      </w:r>
      <w:r>
        <w:rPr>
          <w:color w:val="111313"/>
        </w:rPr>
        <w:t>the</w:t>
      </w:r>
      <w:r>
        <w:rPr>
          <w:color w:val="111313"/>
          <w:spacing w:val="40"/>
        </w:rPr>
        <w:t> </w:t>
      </w:r>
      <w:r>
        <w:rPr>
          <w:color w:val="111313"/>
        </w:rPr>
        <w:t>relationship</w:t>
      </w:r>
      <w:r>
        <w:rPr>
          <w:color w:val="111313"/>
          <w:spacing w:val="40"/>
        </w:rPr>
        <w:t> </w:t>
      </w:r>
      <w:r>
        <w:rPr>
          <w:color w:val="111313"/>
        </w:rPr>
        <w:t>between</w:t>
      </w:r>
      <w:r>
        <w:rPr>
          <w:color w:val="111313"/>
          <w:spacing w:val="40"/>
        </w:rPr>
        <w:t> </w:t>
      </w:r>
      <w:r>
        <w:rPr>
          <w:color w:val="111313"/>
        </w:rPr>
        <w:t>training</w:t>
      </w:r>
      <w:r>
        <w:rPr>
          <w:color w:val="111313"/>
          <w:spacing w:val="40"/>
        </w:rPr>
        <w:t> </w:t>
      </w:r>
      <w:r>
        <w:rPr>
          <w:color w:val="111313"/>
        </w:rPr>
        <w:t>&amp; development (T&amp;D) and employee productivity, with a focus on the mediating role of training motivation, encompasses a mixed-method incorporating both quantitative and qualitative elements. Initially, quantitative survey would be distributed among employees across various organizational levels to gather data on T&amp;D initiatives, perceived training motivation and productivity levels. This approach aligns with previous research by</w:t>
      </w:r>
      <w:r>
        <w:rPr>
          <w:color w:val="111313"/>
          <w:spacing w:val="-1"/>
        </w:rPr>
        <w:t> </w:t>
      </w:r>
      <w:r>
        <w:rPr>
          <w:color w:val="111313"/>
        </w:rPr>
        <w:t>Baldwin and Ford (1988) who </w:t>
      </w:r>
      <w:r>
        <w:rPr>
          <w:color w:val="262626"/>
        </w:rPr>
        <w:t>emphasized </w:t>
      </w:r>
      <w:r>
        <w:rPr>
          <w:color w:val="111313"/>
        </w:rPr>
        <w:t>the significance of understanding individual motivation in training context. This quantitative approach allows for a comprehensive exploration of the complex interplay between T&amp;D, employee motivation, and productivity, offering valuable insights for both scholars and practitioners in human resource management and organizational development.</w:t>
      </w:r>
    </w:p>
    <w:p>
      <w:pPr>
        <w:pStyle w:val="ListParagraph"/>
        <w:numPr>
          <w:ilvl w:val="1"/>
          <w:numId w:val="1"/>
        </w:numPr>
        <w:tabs>
          <w:tab w:pos="530" w:val="left" w:leader="none"/>
        </w:tabs>
        <w:spacing w:line="240" w:lineRule="auto" w:before="106" w:after="0"/>
        <w:ind w:left="530" w:right="0" w:hanging="345"/>
        <w:jc w:val="both"/>
        <w:rPr>
          <w:i/>
          <w:color w:val="111313"/>
          <w:sz w:val="21"/>
        </w:rPr>
      </w:pPr>
      <w:r>
        <w:rPr>
          <w:i/>
          <w:color w:val="111313"/>
          <w:sz w:val="21"/>
        </w:rPr>
        <w:t>Research</w:t>
      </w:r>
      <w:r>
        <w:rPr>
          <w:i/>
          <w:color w:val="111313"/>
          <w:spacing w:val="11"/>
          <w:sz w:val="21"/>
        </w:rPr>
        <w:t> </w:t>
      </w:r>
      <w:r>
        <w:rPr>
          <w:i/>
          <w:color w:val="111313"/>
          <w:spacing w:val="-2"/>
          <w:sz w:val="21"/>
        </w:rPr>
        <w:t>Population</w:t>
      </w:r>
    </w:p>
    <w:p>
      <w:pPr>
        <w:pStyle w:val="BodyText"/>
        <w:spacing w:line="280" w:lineRule="auto" w:before="134"/>
        <w:ind w:left="183" w:right="438"/>
        <w:jc w:val="both"/>
      </w:pPr>
      <w:r>
        <w:rPr>
          <w:color w:val="111313"/>
        </w:rPr>
        <w:t>The research</w:t>
      </w:r>
      <w:r>
        <w:rPr>
          <w:color w:val="111313"/>
          <w:spacing w:val="37"/>
        </w:rPr>
        <w:t> </w:t>
      </w:r>
      <w:r>
        <w:rPr>
          <w:color w:val="111313"/>
        </w:rPr>
        <w:t>population</w:t>
      </w:r>
      <w:r>
        <w:rPr>
          <w:color w:val="111313"/>
          <w:spacing w:val="40"/>
        </w:rPr>
        <w:t> </w:t>
      </w:r>
      <w:r>
        <w:rPr>
          <w:color w:val="111313"/>
        </w:rPr>
        <w:t>for this</w:t>
      </w:r>
      <w:r>
        <w:rPr>
          <w:color w:val="111313"/>
          <w:spacing w:val="35"/>
        </w:rPr>
        <w:t> </w:t>
      </w:r>
      <w:r>
        <w:rPr>
          <w:color w:val="111313"/>
        </w:rPr>
        <w:t>study would encompass</w:t>
      </w:r>
      <w:r>
        <w:rPr>
          <w:color w:val="111313"/>
          <w:spacing w:val="36"/>
        </w:rPr>
        <w:t> </w:t>
      </w:r>
      <w:r>
        <w:rPr>
          <w:color w:val="111313"/>
        </w:rPr>
        <w:t>employees</w:t>
      </w:r>
      <w:r>
        <w:rPr>
          <w:color w:val="111313"/>
          <w:spacing w:val="37"/>
        </w:rPr>
        <w:t> </w:t>
      </w:r>
      <w:r>
        <w:rPr>
          <w:color w:val="111313"/>
        </w:rPr>
        <w:t>working</w:t>
      </w:r>
      <w:r>
        <w:rPr>
          <w:color w:val="111313"/>
          <w:spacing w:val="37"/>
        </w:rPr>
        <w:t> </w:t>
      </w:r>
      <w:r>
        <w:rPr>
          <w:color w:val="111313"/>
        </w:rPr>
        <w:t>in the ready-made garment</w:t>
      </w:r>
      <w:r>
        <w:rPr>
          <w:color w:val="111313"/>
          <w:spacing w:val="25"/>
        </w:rPr>
        <w:t> </w:t>
      </w:r>
      <w:r>
        <w:rPr>
          <w:color w:val="111313"/>
        </w:rPr>
        <w:t>(RMG)</w:t>
      </w:r>
      <w:r>
        <w:rPr>
          <w:color w:val="111313"/>
          <w:spacing w:val="23"/>
        </w:rPr>
        <w:t> </w:t>
      </w:r>
      <w:r>
        <w:rPr>
          <w:color w:val="111313"/>
        </w:rPr>
        <w:t>sector of Bangladesh.</w:t>
      </w:r>
      <w:r>
        <w:rPr>
          <w:color w:val="111313"/>
          <w:spacing w:val="24"/>
        </w:rPr>
        <w:t> </w:t>
      </w:r>
      <w:r>
        <w:rPr>
          <w:color w:val="111313"/>
        </w:rPr>
        <w:t>This specific</w:t>
      </w:r>
      <w:r>
        <w:rPr>
          <w:color w:val="111313"/>
          <w:spacing w:val="23"/>
        </w:rPr>
        <w:t> </w:t>
      </w:r>
      <w:r>
        <w:rPr>
          <w:color w:val="111313"/>
        </w:rPr>
        <w:t>industry segment</w:t>
      </w:r>
      <w:r>
        <w:rPr>
          <w:color w:val="111313"/>
          <w:spacing w:val="23"/>
        </w:rPr>
        <w:t> </w:t>
      </w:r>
      <w:r>
        <w:rPr>
          <w:color w:val="111313"/>
        </w:rPr>
        <w:t>is chosen</w:t>
      </w:r>
      <w:r>
        <w:rPr>
          <w:color w:val="111313"/>
          <w:spacing w:val="26"/>
        </w:rPr>
        <w:t> </w:t>
      </w:r>
      <w:r>
        <w:rPr>
          <w:color w:val="111313"/>
        </w:rPr>
        <w:t>due to its significant</w:t>
      </w:r>
      <w:r>
        <w:rPr>
          <w:color w:val="111313"/>
          <w:spacing w:val="29"/>
        </w:rPr>
        <w:t> </w:t>
      </w:r>
      <w:r>
        <w:rPr>
          <w:color w:val="111313"/>
        </w:rPr>
        <w:t>contribution</w:t>
      </w:r>
      <w:r>
        <w:rPr>
          <w:color w:val="111313"/>
          <w:spacing w:val="38"/>
        </w:rPr>
        <w:t> </w:t>
      </w:r>
      <w:r>
        <w:rPr>
          <w:color w:val="111313"/>
        </w:rPr>
        <w:t>to</w:t>
      </w:r>
      <w:r>
        <w:rPr>
          <w:color w:val="111313"/>
          <w:spacing w:val="21"/>
        </w:rPr>
        <w:t> </w:t>
      </w:r>
      <w:r>
        <w:rPr>
          <w:color w:val="111313"/>
        </w:rPr>
        <w:t>the</w:t>
      </w:r>
      <w:r>
        <w:rPr>
          <w:color w:val="111313"/>
          <w:spacing w:val="16"/>
        </w:rPr>
        <w:t> </w:t>
      </w:r>
      <w:r>
        <w:rPr>
          <w:color w:val="111313"/>
        </w:rPr>
        <w:t>country's</w:t>
      </w:r>
      <w:r>
        <w:rPr>
          <w:color w:val="111313"/>
          <w:spacing w:val="27"/>
        </w:rPr>
        <w:t> </w:t>
      </w:r>
      <w:r>
        <w:rPr>
          <w:color w:val="111313"/>
        </w:rPr>
        <w:t>economy</w:t>
      </w:r>
      <w:r>
        <w:rPr>
          <w:color w:val="111313"/>
          <w:spacing w:val="26"/>
        </w:rPr>
        <w:t> </w:t>
      </w:r>
      <w:r>
        <w:rPr>
          <w:color w:val="111313"/>
        </w:rPr>
        <w:t>and</w:t>
      </w:r>
      <w:r>
        <w:rPr>
          <w:color w:val="111313"/>
          <w:spacing w:val="27"/>
        </w:rPr>
        <w:t> </w:t>
      </w:r>
      <w:r>
        <w:rPr>
          <w:color w:val="111313"/>
        </w:rPr>
        <w:t>its</w:t>
      </w:r>
      <w:r>
        <w:rPr>
          <w:color w:val="111313"/>
          <w:spacing w:val="16"/>
        </w:rPr>
        <w:t> </w:t>
      </w:r>
      <w:r>
        <w:rPr>
          <w:color w:val="111313"/>
        </w:rPr>
        <w:t>large</w:t>
      </w:r>
      <w:r>
        <w:rPr>
          <w:color w:val="111313"/>
          <w:spacing w:val="21"/>
        </w:rPr>
        <w:t> </w:t>
      </w:r>
      <w:r>
        <w:rPr>
          <w:color w:val="111313"/>
        </w:rPr>
        <w:t>workforce</w:t>
      </w:r>
      <w:r>
        <w:rPr>
          <w:color w:val="111313"/>
          <w:spacing w:val="32"/>
        </w:rPr>
        <w:t> </w:t>
      </w:r>
      <w:r>
        <w:rPr>
          <w:color w:val="111313"/>
        </w:rPr>
        <w:t>(Shams</w:t>
      </w:r>
      <w:r>
        <w:rPr>
          <w:color w:val="3B3838"/>
        </w:rPr>
        <w:t>, </w:t>
      </w:r>
      <w:r>
        <w:rPr>
          <w:color w:val="111313"/>
        </w:rPr>
        <w:t>2011).</w:t>
      </w:r>
    </w:p>
    <w:p>
      <w:pPr>
        <w:pStyle w:val="BodyText"/>
      </w:pPr>
    </w:p>
    <w:p>
      <w:pPr>
        <w:pStyle w:val="BodyText"/>
      </w:pPr>
    </w:p>
    <w:p>
      <w:pPr>
        <w:pStyle w:val="BodyText"/>
      </w:pPr>
    </w:p>
    <w:p>
      <w:pPr>
        <w:pStyle w:val="BodyText"/>
        <w:spacing w:before="55"/>
      </w:pPr>
    </w:p>
    <w:p>
      <w:pPr>
        <w:spacing w:before="0"/>
        <w:ind w:left="857" w:right="823" w:firstLine="0"/>
        <w:jc w:val="center"/>
        <w:rPr>
          <w:sz w:val="17"/>
        </w:rPr>
      </w:pPr>
      <w:r>
        <w:rPr>
          <w:color w:val="3B3838"/>
          <w:spacing w:val="-5"/>
          <w:w w:val="110"/>
          <w:sz w:val="17"/>
        </w:rPr>
        <w:t>63</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64" w:id="8"/>
      <w:bookmarkEnd w:id="8"/>
      <w:r>
        <w:rPr/>
      </w:r>
      <w:r>
        <w:rPr>
          <w:i/>
          <w:color w:val="3B3838"/>
          <w:sz w:val="18"/>
        </w:rPr>
        <w:t>Mahbub</w:t>
      </w:r>
      <w:r>
        <w:rPr>
          <w:i/>
          <w:color w:val="565454"/>
          <w:sz w:val="18"/>
        </w:rPr>
        <w:t>/</w:t>
      </w:r>
      <w:r>
        <w:rPr>
          <w:i/>
          <w:color w:val="3B3838"/>
          <w:sz w:val="18"/>
        </w:rPr>
        <w:t>Comilla</w:t>
      </w:r>
      <w:r>
        <w:rPr>
          <w:i/>
          <w:color w:val="3B3838"/>
          <w:spacing w:val="-12"/>
          <w:sz w:val="18"/>
        </w:rPr>
        <w:t> </w:t>
      </w:r>
      <w:r>
        <w:rPr>
          <w:i/>
          <w:color w:val="3B3838"/>
          <w:sz w:val="18"/>
        </w:rPr>
        <w:t>Un</w:t>
      </w:r>
      <w:r>
        <w:rPr>
          <w:i/>
          <w:color w:val="131313"/>
          <w:sz w:val="18"/>
        </w:rPr>
        <w:t>i</w:t>
      </w:r>
      <w:r>
        <w:rPr>
          <w:i/>
          <w:color w:val="3B3838"/>
          <w:sz w:val="18"/>
        </w:rPr>
        <w:t>versity</w:t>
      </w:r>
      <w:r>
        <w:rPr>
          <w:i/>
          <w:color w:val="3B3838"/>
          <w:spacing w:val="-11"/>
          <w:sz w:val="18"/>
        </w:rPr>
        <w:t> </w:t>
      </w:r>
      <w:r>
        <w:rPr>
          <w:i/>
          <w:color w:val="3B3838"/>
          <w:sz w:val="18"/>
        </w:rPr>
        <w:t>Journal</w:t>
      </w:r>
      <w:r>
        <w:rPr>
          <w:i/>
          <w:color w:val="3B3838"/>
          <w:spacing w:val="-3"/>
          <w:sz w:val="18"/>
        </w:rPr>
        <w:t> </w:t>
      </w:r>
      <w:r>
        <w:rPr>
          <w:i/>
          <w:color w:val="3B3838"/>
          <w:sz w:val="18"/>
        </w:rPr>
        <w:t>of</w:t>
      </w:r>
      <w:r>
        <w:rPr>
          <w:i/>
          <w:color w:val="3B3838"/>
          <w:spacing w:val="-4"/>
          <w:sz w:val="18"/>
        </w:rPr>
        <w:t> </w:t>
      </w:r>
      <w:r>
        <w:rPr>
          <w:i/>
          <w:color w:val="3B3838"/>
          <w:sz w:val="18"/>
        </w:rPr>
        <w:t>Business</w:t>
      </w:r>
      <w:r>
        <w:rPr>
          <w:i/>
          <w:color w:val="3B3838"/>
          <w:spacing w:val="-1"/>
          <w:sz w:val="18"/>
        </w:rPr>
        <w:t> </w:t>
      </w:r>
      <w:r>
        <w:rPr>
          <w:i/>
          <w:color w:val="3B3838"/>
          <w:sz w:val="18"/>
        </w:rPr>
        <w:t>Studies</w:t>
      </w:r>
      <w:r>
        <w:rPr>
          <w:i/>
          <w:color w:val="3B3838"/>
          <w:spacing w:val="53"/>
          <w:sz w:val="18"/>
        </w:rPr>
        <w:t> </w:t>
      </w:r>
      <w:r>
        <w:rPr>
          <w:i/>
          <w:color w:val="131313"/>
          <w:sz w:val="18"/>
        </w:rPr>
        <w:t>IO</w:t>
      </w:r>
      <w:r>
        <w:rPr>
          <w:i/>
          <w:color w:val="131313"/>
          <w:spacing w:val="-11"/>
          <w:sz w:val="18"/>
        </w:rPr>
        <w:t> </w:t>
      </w:r>
      <w:r>
        <w:rPr>
          <w:i/>
          <w:color w:val="3B3838"/>
          <w:sz w:val="18"/>
        </w:rPr>
        <w:t>(2023)</w:t>
      </w:r>
      <w:r>
        <w:rPr>
          <w:i/>
          <w:color w:val="3B3838"/>
          <w:spacing w:val="-7"/>
          <w:sz w:val="18"/>
        </w:rPr>
        <w:t> </w:t>
      </w:r>
      <w:r>
        <w:rPr>
          <w:i/>
          <w:color w:val="3B3838"/>
          <w:sz w:val="18"/>
        </w:rPr>
        <w:t>5</w:t>
      </w:r>
      <w:r>
        <w:rPr>
          <w:color w:val="3B3838"/>
          <w:sz w:val="17"/>
        </w:rPr>
        <w:t>7</w:t>
      </w:r>
      <w:r>
        <w:rPr>
          <w:color w:val="131313"/>
          <w:sz w:val="17"/>
        </w:rPr>
        <w:t>-</w:t>
      </w:r>
      <w:r>
        <w:rPr>
          <w:i/>
          <w:color w:val="3B3838"/>
          <w:spacing w:val="-7"/>
          <w:sz w:val="18"/>
        </w:rPr>
        <w:t>77</w:t>
      </w:r>
    </w:p>
    <w:p>
      <w:pPr>
        <w:pStyle w:val="BodyText"/>
        <w:spacing w:before="149"/>
        <w:rPr>
          <w:i/>
          <w:sz w:val="18"/>
        </w:rPr>
      </w:pPr>
    </w:p>
    <w:p>
      <w:pPr>
        <w:pStyle w:val="BodyText"/>
        <w:spacing w:line="276" w:lineRule="auto"/>
        <w:ind w:left="325" w:right="313" w:hanging="3"/>
        <w:jc w:val="both"/>
      </w:pPr>
      <w:r>
        <w:rPr>
          <w:color w:val="131313"/>
        </w:rPr>
        <w:t>To ensure generalizability of findings, a representative</w:t>
      </w:r>
      <w:r>
        <w:rPr>
          <w:color w:val="131313"/>
          <w:spacing w:val="-1"/>
        </w:rPr>
        <w:t> </w:t>
      </w:r>
      <w:r>
        <w:rPr>
          <w:color w:val="131313"/>
        </w:rPr>
        <w:t>sample from various RMG companies across Bangladesh would be ideal. This could include workers involved in different</w:t>
      </w:r>
      <w:r>
        <w:rPr>
          <w:color w:val="131313"/>
          <w:spacing w:val="80"/>
        </w:rPr>
        <w:t> </w:t>
      </w:r>
      <w:r>
        <w:rPr>
          <w:color w:val="131313"/>
        </w:rPr>
        <w:t>production processes such as sewing, and finishing (Razzaque &amp; Eusuf, 2007).</w:t>
      </w:r>
    </w:p>
    <w:p>
      <w:pPr>
        <w:pStyle w:val="ListParagraph"/>
        <w:numPr>
          <w:ilvl w:val="1"/>
          <w:numId w:val="1"/>
        </w:numPr>
        <w:tabs>
          <w:tab w:pos="672" w:val="left" w:leader="none"/>
        </w:tabs>
        <w:spacing w:line="240" w:lineRule="auto" w:before="109" w:after="0"/>
        <w:ind w:left="672" w:right="0" w:hanging="348"/>
        <w:jc w:val="both"/>
        <w:rPr>
          <w:i/>
          <w:color w:val="131313"/>
          <w:sz w:val="21"/>
        </w:rPr>
      </w:pPr>
      <w:r>
        <w:rPr>
          <w:i/>
          <w:color w:val="131313"/>
          <w:sz w:val="21"/>
        </w:rPr>
        <w:t>Sample</w:t>
      </w:r>
      <w:r>
        <w:rPr>
          <w:i/>
          <w:color w:val="131313"/>
          <w:spacing w:val="2"/>
          <w:sz w:val="21"/>
        </w:rPr>
        <w:t> </w:t>
      </w:r>
      <w:r>
        <w:rPr>
          <w:i/>
          <w:color w:val="131313"/>
          <w:spacing w:val="-4"/>
          <w:sz w:val="21"/>
        </w:rPr>
        <w:t>Size</w:t>
      </w:r>
    </w:p>
    <w:p>
      <w:pPr>
        <w:pStyle w:val="BodyText"/>
        <w:spacing w:line="292" w:lineRule="auto" w:before="143"/>
        <w:ind w:left="321" w:right="307" w:firstLine="1"/>
        <w:jc w:val="both"/>
      </w:pPr>
      <w:r>
        <w:rPr>
          <w:color w:val="131313"/>
        </w:rPr>
        <w:t>The appropriate sample size for this study investigating training and development's impact on employee productivity mediated by training motivation, hinges on the desired confidence</w:t>
      </w:r>
      <w:r>
        <w:rPr>
          <w:color w:val="131313"/>
          <w:spacing w:val="40"/>
        </w:rPr>
        <w:t> </w:t>
      </w:r>
      <w:r>
        <w:rPr>
          <w:color w:val="131313"/>
        </w:rPr>
        <w:t>level, margin of error, and anticipated effect size (Krejcie &amp; Morgan</w:t>
      </w:r>
      <w:r>
        <w:rPr>
          <w:color w:val="3B3838"/>
        </w:rPr>
        <w:t>, </w:t>
      </w:r>
      <w:r>
        <w:rPr>
          <w:color w:val="131313"/>
        </w:rPr>
        <w:t>1970). While organizational research</w:t>
      </w:r>
      <w:r>
        <w:rPr>
          <w:color w:val="131313"/>
          <w:spacing w:val="26"/>
        </w:rPr>
        <w:t> </w:t>
      </w:r>
      <w:r>
        <w:rPr>
          <w:color w:val="131313"/>
        </w:rPr>
        <w:t>commonly</w:t>
      </w:r>
      <w:r>
        <w:rPr>
          <w:color w:val="131313"/>
          <w:spacing w:val="23"/>
        </w:rPr>
        <w:t> </w:t>
      </w:r>
      <w:r>
        <w:rPr>
          <w:color w:val="131313"/>
        </w:rPr>
        <w:t>employs</w:t>
      </w:r>
      <w:r>
        <w:rPr>
          <w:color w:val="131313"/>
          <w:spacing w:val="25"/>
        </w:rPr>
        <w:t> </w:t>
      </w:r>
      <w:r>
        <w:rPr>
          <w:color w:val="131313"/>
        </w:rPr>
        <w:t>samples between 150 and 500 participants</w:t>
      </w:r>
      <w:r>
        <w:rPr>
          <w:color w:val="131313"/>
          <w:spacing w:val="28"/>
        </w:rPr>
        <w:t> </w:t>
      </w:r>
      <w:r>
        <w:rPr>
          <w:color w:val="131313"/>
        </w:rPr>
        <w:t>(Faul et al., 2007), consulting a statistician is vital. This ensures an accurate sample size that considers the unique context of</w:t>
      </w:r>
      <w:r>
        <w:rPr>
          <w:color w:val="131313"/>
          <w:spacing w:val="-2"/>
        </w:rPr>
        <w:t> </w:t>
      </w:r>
      <w:r>
        <w:rPr>
          <w:color w:val="131313"/>
        </w:rPr>
        <w:t>Bangladesh's RMG industry and resource constraints (Krejcie &amp; Morgan, 1970). Sample size of this study is 400.</w:t>
      </w:r>
    </w:p>
    <w:p>
      <w:pPr>
        <w:pStyle w:val="ListParagraph"/>
        <w:numPr>
          <w:ilvl w:val="1"/>
          <w:numId w:val="1"/>
        </w:numPr>
        <w:tabs>
          <w:tab w:pos="673" w:val="left" w:leader="none"/>
        </w:tabs>
        <w:spacing w:line="240" w:lineRule="auto" w:before="96" w:after="0"/>
        <w:ind w:left="673" w:right="0" w:hanging="349"/>
        <w:jc w:val="both"/>
        <w:rPr>
          <w:i/>
          <w:color w:val="131313"/>
          <w:sz w:val="21"/>
        </w:rPr>
      </w:pPr>
      <w:r>
        <w:rPr>
          <w:i/>
          <w:color w:val="131313"/>
          <w:sz w:val="21"/>
        </w:rPr>
        <w:t>Sampling</w:t>
      </w:r>
      <w:r>
        <w:rPr>
          <w:i/>
          <w:color w:val="131313"/>
          <w:spacing w:val="14"/>
          <w:sz w:val="21"/>
        </w:rPr>
        <w:t> </w:t>
      </w:r>
      <w:r>
        <w:rPr>
          <w:i/>
          <w:color w:val="131313"/>
          <w:spacing w:val="-2"/>
          <w:sz w:val="21"/>
        </w:rPr>
        <w:t>Technique</w:t>
      </w:r>
    </w:p>
    <w:p>
      <w:pPr>
        <w:pStyle w:val="BodyText"/>
        <w:spacing w:line="290" w:lineRule="auto" w:before="148"/>
        <w:ind w:left="323" w:right="295" w:firstLine="3"/>
        <w:jc w:val="both"/>
      </w:pPr>
      <w:r>
        <w:rPr>
          <w:color w:val="131313"/>
        </w:rPr>
        <w:t>A random sampling method such as stratified random sampling would be ideal (Thompson</w:t>
      </w:r>
      <w:r>
        <w:rPr>
          <w:color w:val="3B3838"/>
        </w:rPr>
        <w:t>, </w:t>
      </w:r>
      <w:r>
        <w:rPr>
          <w:color w:val="131313"/>
        </w:rPr>
        <w:t>2022). This sampling technique involves dividing the RMG employee population into subgroups</w:t>
      </w:r>
      <w:r>
        <w:rPr>
          <w:color w:val="131313"/>
          <w:spacing w:val="23"/>
        </w:rPr>
        <w:t> </w:t>
      </w:r>
      <w:r>
        <w:rPr>
          <w:color w:val="131313"/>
        </w:rPr>
        <w:t>(Strata)</w:t>
      </w:r>
      <w:r>
        <w:rPr>
          <w:color w:val="131313"/>
          <w:spacing w:val="23"/>
        </w:rPr>
        <w:t> </w:t>
      </w:r>
      <w:r>
        <w:rPr>
          <w:color w:val="131313"/>
        </w:rPr>
        <w:t>based</w:t>
      </w:r>
      <w:r>
        <w:rPr>
          <w:color w:val="131313"/>
          <w:spacing w:val="19"/>
        </w:rPr>
        <w:t> </w:t>
      </w:r>
      <w:r>
        <w:rPr>
          <w:color w:val="131313"/>
        </w:rPr>
        <w:t>on factors</w:t>
      </w:r>
      <w:r>
        <w:rPr>
          <w:color w:val="131313"/>
          <w:spacing w:val="22"/>
        </w:rPr>
        <w:t> </w:t>
      </w:r>
      <w:r>
        <w:rPr>
          <w:color w:val="131313"/>
        </w:rPr>
        <w:t>like job type (e.g., cutting,</w:t>
      </w:r>
      <w:r>
        <w:rPr>
          <w:color w:val="131313"/>
          <w:spacing w:val="25"/>
        </w:rPr>
        <w:t> </w:t>
      </w:r>
      <w:r>
        <w:rPr>
          <w:color w:val="131313"/>
        </w:rPr>
        <w:t>sewing,</w:t>
      </w:r>
      <w:r>
        <w:rPr>
          <w:color w:val="131313"/>
          <w:spacing w:val="23"/>
        </w:rPr>
        <w:t> </w:t>
      </w:r>
      <w:r>
        <w:rPr>
          <w:color w:val="131313"/>
        </w:rPr>
        <w:t>finishing)</w:t>
      </w:r>
      <w:r>
        <w:rPr>
          <w:color w:val="131313"/>
          <w:spacing w:val="24"/>
        </w:rPr>
        <w:t> </w:t>
      </w:r>
      <w:r>
        <w:rPr>
          <w:color w:val="131313"/>
        </w:rPr>
        <w:t>(Razzaque &amp; Eusuf, 2007)</w:t>
      </w:r>
      <w:r>
        <w:rPr>
          <w:color w:val="3B3838"/>
        </w:rPr>
        <w:t>.</w:t>
      </w:r>
      <w:r>
        <w:rPr>
          <w:color w:val="3B3838"/>
          <w:spacing w:val="-7"/>
        </w:rPr>
        <w:t> </w:t>
      </w:r>
      <w:r>
        <w:rPr>
          <w:color w:val="131313"/>
        </w:rPr>
        <w:t>Then a random sample is drawn proportionally</w:t>
      </w:r>
      <w:r>
        <w:rPr>
          <w:color w:val="131313"/>
          <w:spacing w:val="-3"/>
        </w:rPr>
        <w:t> </w:t>
      </w:r>
      <w:r>
        <w:rPr>
          <w:color w:val="131313"/>
        </w:rPr>
        <w:t>from each subgroup ensuring representativeness of the diverse RMG workforce and mitigating selection bias (Thompson, </w:t>
      </w:r>
      <w:r>
        <w:rPr>
          <w:color w:val="131313"/>
          <w:spacing w:val="-2"/>
        </w:rPr>
        <w:t>2022).</w:t>
      </w:r>
    </w:p>
    <w:p>
      <w:pPr>
        <w:pStyle w:val="ListParagraph"/>
        <w:numPr>
          <w:ilvl w:val="1"/>
          <w:numId w:val="1"/>
        </w:numPr>
        <w:tabs>
          <w:tab w:pos="670" w:val="left" w:leader="none"/>
        </w:tabs>
        <w:spacing w:line="240" w:lineRule="auto" w:before="102" w:after="0"/>
        <w:ind w:left="670" w:right="0" w:hanging="346"/>
        <w:jc w:val="both"/>
        <w:rPr>
          <w:i/>
          <w:color w:val="131313"/>
          <w:sz w:val="21"/>
        </w:rPr>
      </w:pPr>
      <w:r>
        <w:rPr>
          <w:i/>
          <w:color w:val="131313"/>
          <w:sz w:val="21"/>
        </w:rPr>
        <w:t>Data</w:t>
      </w:r>
      <w:r>
        <w:rPr>
          <w:i/>
          <w:color w:val="131313"/>
          <w:spacing w:val="5"/>
          <w:sz w:val="21"/>
        </w:rPr>
        <w:t> </w:t>
      </w:r>
      <w:r>
        <w:rPr>
          <w:i/>
          <w:color w:val="131313"/>
          <w:spacing w:val="-2"/>
          <w:sz w:val="21"/>
        </w:rPr>
        <w:t>Collection</w:t>
      </w:r>
    </w:p>
    <w:p>
      <w:pPr>
        <w:pStyle w:val="BodyText"/>
        <w:spacing w:line="292" w:lineRule="auto" w:before="147"/>
        <w:ind w:left="321" w:right="301" w:firstLine="3"/>
        <w:jc w:val="both"/>
      </w:pPr>
      <w:r>
        <w:rPr>
          <w:color w:val="131313"/>
        </w:rPr>
        <w:t>Data</w:t>
      </w:r>
      <w:r>
        <w:rPr>
          <w:color w:val="131313"/>
          <w:spacing w:val="40"/>
        </w:rPr>
        <w:t> </w:t>
      </w:r>
      <w:r>
        <w:rPr>
          <w:color w:val="131313"/>
        </w:rPr>
        <w:t>collection</w:t>
      </w:r>
      <w:r>
        <w:rPr>
          <w:color w:val="131313"/>
          <w:spacing w:val="40"/>
        </w:rPr>
        <w:t> </w:t>
      </w:r>
      <w:r>
        <w:rPr>
          <w:color w:val="131313"/>
        </w:rPr>
        <w:t>for</w:t>
      </w:r>
      <w:r>
        <w:rPr>
          <w:color w:val="131313"/>
          <w:spacing w:val="40"/>
        </w:rPr>
        <w:t> </w:t>
      </w:r>
      <w:r>
        <w:rPr>
          <w:color w:val="131313"/>
        </w:rPr>
        <w:t>this</w:t>
      </w:r>
      <w:r>
        <w:rPr>
          <w:color w:val="131313"/>
          <w:spacing w:val="40"/>
        </w:rPr>
        <w:t> </w:t>
      </w:r>
      <w:r>
        <w:rPr>
          <w:color w:val="131313"/>
        </w:rPr>
        <w:t>study</w:t>
      </w:r>
      <w:r>
        <w:rPr>
          <w:color w:val="131313"/>
          <w:spacing w:val="40"/>
        </w:rPr>
        <w:t> </w:t>
      </w:r>
      <w:r>
        <w:rPr>
          <w:color w:val="131313"/>
        </w:rPr>
        <w:t>on</w:t>
      </w:r>
      <w:r>
        <w:rPr>
          <w:color w:val="131313"/>
          <w:spacing w:val="40"/>
        </w:rPr>
        <w:t> </w:t>
      </w:r>
      <w:r>
        <w:rPr>
          <w:color w:val="131313"/>
        </w:rPr>
        <w:t>trammg</w:t>
      </w:r>
      <w:r>
        <w:rPr>
          <w:color w:val="131313"/>
          <w:spacing w:val="40"/>
        </w:rPr>
        <w:t> </w:t>
      </w:r>
      <w:r>
        <w:rPr>
          <w:color w:val="131313"/>
        </w:rPr>
        <w:t>and</w:t>
      </w:r>
      <w:r>
        <w:rPr>
          <w:color w:val="131313"/>
          <w:spacing w:val="40"/>
        </w:rPr>
        <w:t> </w:t>
      </w:r>
      <w:r>
        <w:rPr>
          <w:color w:val="131313"/>
        </w:rPr>
        <w:t>development's</w:t>
      </w:r>
      <w:r>
        <w:rPr>
          <w:color w:val="131313"/>
          <w:spacing w:val="40"/>
        </w:rPr>
        <w:t> </w:t>
      </w:r>
      <w:r>
        <w:rPr>
          <w:color w:val="131313"/>
        </w:rPr>
        <w:t>impact</w:t>
      </w:r>
      <w:r>
        <w:rPr>
          <w:color w:val="131313"/>
          <w:spacing w:val="40"/>
        </w:rPr>
        <w:t> </w:t>
      </w:r>
      <w:r>
        <w:rPr>
          <w:color w:val="131313"/>
        </w:rPr>
        <w:t>on</w:t>
      </w:r>
      <w:r>
        <w:rPr>
          <w:color w:val="131313"/>
          <w:spacing w:val="40"/>
        </w:rPr>
        <w:t> </w:t>
      </w:r>
      <w:r>
        <w:rPr>
          <w:color w:val="131313"/>
        </w:rPr>
        <w:t>employee productivity, mediated by training motivation, will likely involve a multi-method approach to capture a comprehensive picture (Creswell &amp; Creswell</w:t>
      </w:r>
      <w:r>
        <w:rPr>
          <w:color w:val="3B3838"/>
        </w:rPr>
        <w:t>, </w:t>
      </w:r>
      <w:r>
        <w:rPr>
          <w:color w:val="131313"/>
        </w:rPr>
        <w:t>2018). One method could be surveys distributed</w:t>
      </w:r>
      <w:r>
        <w:rPr>
          <w:color w:val="131313"/>
          <w:spacing w:val="25"/>
        </w:rPr>
        <w:t> </w:t>
      </w:r>
      <w:r>
        <w:rPr>
          <w:color w:val="131313"/>
        </w:rPr>
        <w:t>to RMG employees, measuring</w:t>
      </w:r>
      <w:r>
        <w:rPr>
          <w:color w:val="131313"/>
          <w:spacing w:val="28"/>
        </w:rPr>
        <w:t> </w:t>
      </w:r>
      <w:r>
        <w:rPr>
          <w:color w:val="131313"/>
        </w:rPr>
        <w:t>their perceptions</w:t>
      </w:r>
      <w:r>
        <w:rPr>
          <w:color w:val="131313"/>
          <w:spacing w:val="24"/>
        </w:rPr>
        <w:t> </w:t>
      </w:r>
      <w:r>
        <w:rPr>
          <w:color w:val="131313"/>
        </w:rPr>
        <w:t>of training programs, their level of training motivation, and their self-reported productivity levels (Singh &amp; Singh, 2017). Additionally, organizations' HR departments could be consulted to access objective productivity data, such as output per hour or error rates (Cardon &amp; Heyes</w:t>
      </w:r>
      <w:r>
        <w:rPr>
          <w:color w:val="3B3838"/>
        </w:rPr>
        <w:t>, </w:t>
      </w:r>
      <w:r>
        <w:rPr>
          <w:color w:val="131313"/>
        </w:rPr>
        <w:t>2006)</w:t>
      </w:r>
      <w:r>
        <w:rPr>
          <w:color w:val="3B3838"/>
        </w:rPr>
        <w:t>. </w:t>
      </w:r>
      <w:r>
        <w:rPr>
          <w:color w:val="131313"/>
        </w:rPr>
        <w:t>This triangulation</w:t>
      </w:r>
      <w:r>
        <w:rPr>
          <w:color w:val="131313"/>
          <w:spacing w:val="40"/>
        </w:rPr>
        <w:t> </w:t>
      </w:r>
      <w:r>
        <w:rPr>
          <w:color w:val="131313"/>
        </w:rPr>
        <w:t>of data sources (surveys, self-reports,</w:t>
      </w:r>
      <w:r>
        <w:rPr>
          <w:color w:val="131313"/>
          <w:spacing w:val="40"/>
        </w:rPr>
        <w:t> </w:t>
      </w:r>
      <w:r>
        <w:rPr>
          <w:color w:val="131313"/>
        </w:rPr>
        <w:t>and objective data) strengthens</w:t>
      </w:r>
      <w:r>
        <w:rPr>
          <w:color w:val="131313"/>
          <w:spacing w:val="40"/>
        </w:rPr>
        <w:t> </w:t>
      </w:r>
      <w:r>
        <w:rPr>
          <w:color w:val="131313"/>
        </w:rPr>
        <w:t>the research and reduces bias (Creswell &amp; Creswell, 2018).</w:t>
      </w:r>
    </w:p>
    <w:p>
      <w:pPr>
        <w:pStyle w:val="ListParagraph"/>
        <w:numPr>
          <w:ilvl w:val="1"/>
          <w:numId w:val="1"/>
        </w:numPr>
        <w:tabs>
          <w:tab w:pos="664" w:val="left" w:leader="none"/>
        </w:tabs>
        <w:spacing w:line="240" w:lineRule="auto" w:before="88" w:after="0"/>
        <w:ind w:left="664" w:right="0" w:hanging="340"/>
        <w:jc w:val="both"/>
        <w:rPr>
          <w:i/>
          <w:color w:val="131313"/>
          <w:sz w:val="21"/>
        </w:rPr>
      </w:pPr>
      <w:r>
        <w:rPr>
          <w:i/>
          <w:color w:val="131313"/>
          <w:spacing w:val="-2"/>
          <w:sz w:val="21"/>
        </w:rPr>
        <w:t>Measures</w:t>
      </w:r>
    </w:p>
    <w:p>
      <w:pPr>
        <w:pStyle w:val="BodyText"/>
        <w:spacing w:line="290" w:lineRule="auto" w:before="148"/>
        <w:ind w:left="324" w:right="300" w:hanging="2"/>
        <w:jc w:val="both"/>
      </w:pPr>
      <w:r>
        <w:rPr>
          <w:color w:val="131313"/>
        </w:rPr>
        <w:t>This </w:t>
      </w:r>
      <w:r>
        <w:rPr>
          <w:color w:val="232424"/>
        </w:rPr>
        <w:t>study </w:t>
      </w:r>
      <w:r>
        <w:rPr>
          <w:color w:val="131313"/>
        </w:rPr>
        <w:t>investigating the influence of training and development (T&amp;D) on employee productivity, mediated by training motivation</w:t>
      </w:r>
      <w:r>
        <w:rPr>
          <w:color w:val="3B3838"/>
        </w:rPr>
        <w:t>, </w:t>
      </w:r>
      <w:r>
        <w:rPr>
          <w:color w:val="131313"/>
        </w:rPr>
        <w:t>will require multiple measures (Hair et al.</w:t>
      </w:r>
      <w:r>
        <w:rPr>
          <w:color w:val="3B3838"/>
        </w:rPr>
        <w:t>, </w:t>
      </w:r>
      <w:r>
        <w:rPr>
          <w:color w:val="131313"/>
        </w:rPr>
        <w:t>2019). To assess T&amp;D, a survey could</w:t>
      </w:r>
      <w:r>
        <w:rPr>
          <w:color w:val="131313"/>
          <w:spacing w:val="36"/>
        </w:rPr>
        <w:t> </w:t>
      </w:r>
      <w:r>
        <w:rPr>
          <w:color w:val="131313"/>
        </w:rPr>
        <w:t>capture employee</w:t>
      </w:r>
      <w:r>
        <w:rPr>
          <w:color w:val="131313"/>
          <w:spacing w:val="34"/>
        </w:rPr>
        <w:t> </w:t>
      </w:r>
      <w:r>
        <w:rPr>
          <w:color w:val="131313"/>
        </w:rPr>
        <w:t>reports on</w:t>
      </w:r>
      <w:r>
        <w:rPr>
          <w:color w:val="131313"/>
          <w:spacing w:val="29"/>
        </w:rPr>
        <w:t> </w:t>
      </w:r>
      <w:r>
        <w:rPr>
          <w:color w:val="131313"/>
        </w:rPr>
        <w:t>the frequency,</w:t>
      </w:r>
      <w:r>
        <w:rPr>
          <w:color w:val="131313"/>
          <w:spacing w:val="29"/>
        </w:rPr>
        <w:t> </w:t>
      </w:r>
      <w:r>
        <w:rPr>
          <w:color w:val="131313"/>
        </w:rPr>
        <w:t>content, and perceived </w:t>
      </w:r>
      <w:r>
        <w:rPr>
          <w:color w:val="232424"/>
        </w:rPr>
        <w:t>effectiveness </w:t>
      </w:r>
      <w:r>
        <w:rPr>
          <w:color w:val="131313"/>
        </w:rPr>
        <w:t>of training programs (Burke &amp; Hutchins, 2007)</w:t>
      </w:r>
      <w:r>
        <w:rPr>
          <w:color w:val="3B3838"/>
        </w:rPr>
        <w:t>. </w:t>
      </w:r>
      <w:r>
        <w:rPr>
          <w:color w:val="131313"/>
        </w:rPr>
        <w:t>Training motivation can be measured through survey questions gauging employees' interest</w:t>
      </w:r>
      <w:r>
        <w:rPr>
          <w:color w:val="3B3838"/>
        </w:rPr>
        <w:t>, </w:t>
      </w:r>
      <w:r>
        <w:rPr>
          <w:color w:val="131313"/>
        </w:rPr>
        <w:t>value perception,</w:t>
      </w:r>
      <w:r>
        <w:rPr>
          <w:color w:val="131313"/>
          <w:spacing w:val="72"/>
        </w:rPr>
        <w:t> </w:t>
      </w:r>
      <w:r>
        <w:rPr>
          <w:color w:val="131313"/>
        </w:rPr>
        <w:t>and</w:t>
      </w:r>
      <w:r>
        <w:rPr>
          <w:color w:val="131313"/>
          <w:spacing w:val="70"/>
        </w:rPr>
        <w:t> </w:t>
      </w:r>
      <w:r>
        <w:rPr>
          <w:color w:val="131313"/>
        </w:rPr>
        <w:t>commitment</w:t>
      </w:r>
      <w:r>
        <w:rPr>
          <w:color w:val="131313"/>
          <w:spacing w:val="55"/>
          <w:w w:val="150"/>
        </w:rPr>
        <w:t> </w:t>
      </w:r>
      <w:r>
        <w:rPr>
          <w:color w:val="131313"/>
        </w:rPr>
        <w:t>to</w:t>
      </w:r>
      <w:r>
        <w:rPr>
          <w:color w:val="131313"/>
          <w:spacing w:val="68"/>
        </w:rPr>
        <w:t> </w:t>
      </w:r>
      <w:r>
        <w:rPr>
          <w:color w:val="131313"/>
        </w:rPr>
        <w:t>learning</w:t>
      </w:r>
      <w:r>
        <w:rPr>
          <w:color w:val="131313"/>
          <w:spacing w:val="69"/>
        </w:rPr>
        <w:t> </w:t>
      </w:r>
      <w:r>
        <w:rPr>
          <w:color w:val="131313"/>
        </w:rPr>
        <w:t>opportunities</w:t>
      </w:r>
      <w:r>
        <w:rPr>
          <w:color w:val="131313"/>
          <w:spacing w:val="79"/>
        </w:rPr>
        <w:t> </w:t>
      </w:r>
      <w:r>
        <w:rPr>
          <w:color w:val="131313"/>
        </w:rPr>
        <w:t>(Wang</w:t>
      </w:r>
      <w:r>
        <w:rPr>
          <w:color w:val="131313"/>
          <w:spacing w:val="65"/>
        </w:rPr>
        <w:t> </w:t>
      </w:r>
      <w:r>
        <w:rPr>
          <w:color w:val="131313"/>
        </w:rPr>
        <w:t>&amp;</w:t>
      </w:r>
      <w:r>
        <w:rPr>
          <w:color w:val="131313"/>
          <w:spacing w:val="68"/>
        </w:rPr>
        <w:t> </w:t>
      </w:r>
      <w:r>
        <w:rPr>
          <w:color w:val="131313"/>
        </w:rPr>
        <w:t>Wang,</w:t>
      </w:r>
      <w:r>
        <w:rPr>
          <w:color w:val="131313"/>
          <w:spacing w:val="71"/>
        </w:rPr>
        <w:t> </w:t>
      </w:r>
      <w:r>
        <w:rPr>
          <w:color w:val="131313"/>
        </w:rPr>
        <w:t>2012)</w:t>
      </w:r>
      <w:r>
        <w:rPr>
          <w:color w:val="3B3838"/>
        </w:rPr>
        <w:t>.</w:t>
      </w:r>
      <w:r>
        <w:rPr>
          <w:color w:val="3B3838"/>
          <w:spacing w:val="54"/>
        </w:rPr>
        <w:t> </w:t>
      </w:r>
      <w:r>
        <w:rPr>
          <w:color w:val="131313"/>
          <w:spacing w:val="-2"/>
        </w:rPr>
        <w:t>Finally,</w:t>
      </w:r>
    </w:p>
    <w:p>
      <w:pPr>
        <w:pStyle w:val="BodyText"/>
      </w:pPr>
    </w:p>
    <w:p>
      <w:pPr>
        <w:pStyle w:val="BodyText"/>
      </w:pPr>
    </w:p>
    <w:p>
      <w:pPr>
        <w:pStyle w:val="BodyText"/>
      </w:pPr>
    </w:p>
    <w:p>
      <w:pPr>
        <w:pStyle w:val="BodyText"/>
        <w:spacing w:before="29"/>
      </w:pPr>
    </w:p>
    <w:p>
      <w:pPr>
        <w:spacing w:before="0"/>
        <w:ind w:left="857" w:right="823" w:firstLine="0"/>
        <w:jc w:val="center"/>
        <w:rPr>
          <w:sz w:val="17"/>
        </w:rPr>
      </w:pPr>
      <w:r>
        <w:rPr>
          <w:color w:val="3B3838"/>
          <w:spacing w:val="-5"/>
          <w:w w:val="110"/>
          <w:sz w:val="17"/>
        </w:rPr>
        <w:t>64</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65" w:id="9"/>
      <w:bookmarkEnd w:id="9"/>
      <w:r>
        <w:rPr/>
      </w:r>
      <w:r>
        <w:rPr>
          <w:i/>
          <w:color w:val="3B3838"/>
          <w:sz w:val="18"/>
        </w:rPr>
        <w:t>Mahbub</w:t>
      </w:r>
      <w:r>
        <w:rPr>
          <w:i/>
          <w:color w:val="565454"/>
          <w:sz w:val="18"/>
        </w:rPr>
        <w:t>/</w:t>
      </w:r>
      <w:r>
        <w:rPr>
          <w:i/>
          <w:color w:val="3B3838"/>
          <w:sz w:val="18"/>
        </w:rPr>
        <w:t>Comilla</w:t>
      </w:r>
      <w:r>
        <w:rPr>
          <w:i/>
          <w:color w:val="3B3838"/>
          <w:spacing w:val="-12"/>
          <w:sz w:val="18"/>
        </w:rPr>
        <w:t> </w:t>
      </w:r>
      <w:r>
        <w:rPr>
          <w:i/>
          <w:color w:val="3B3838"/>
          <w:sz w:val="18"/>
        </w:rPr>
        <w:t>Un</w:t>
      </w:r>
      <w:r>
        <w:rPr>
          <w:i/>
          <w:color w:val="111111"/>
          <w:sz w:val="18"/>
        </w:rPr>
        <w:t>i</w:t>
      </w:r>
      <w:r>
        <w:rPr>
          <w:i/>
          <w:color w:val="3B3838"/>
          <w:sz w:val="18"/>
        </w:rPr>
        <w:t>versity</w:t>
      </w:r>
      <w:r>
        <w:rPr>
          <w:i/>
          <w:color w:val="3B3838"/>
          <w:spacing w:val="-11"/>
          <w:sz w:val="18"/>
        </w:rPr>
        <w:t> </w:t>
      </w:r>
      <w:r>
        <w:rPr>
          <w:i/>
          <w:color w:val="3B3838"/>
          <w:sz w:val="18"/>
        </w:rPr>
        <w:t>Journal</w:t>
      </w:r>
      <w:r>
        <w:rPr>
          <w:i/>
          <w:color w:val="3B3838"/>
          <w:spacing w:val="-3"/>
          <w:sz w:val="18"/>
        </w:rPr>
        <w:t> </w:t>
      </w:r>
      <w:r>
        <w:rPr>
          <w:i/>
          <w:color w:val="3B3838"/>
          <w:sz w:val="18"/>
        </w:rPr>
        <w:t>of</w:t>
      </w:r>
      <w:r>
        <w:rPr>
          <w:i/>
          <w:color w:val="3B3838"/>
          <w:spacing w:val="-4"/>
          <w:sz w:val="18"/>
        </w:rPr>
        <w:t> </w:t>
      </w:r>
      <w:r>
        <w:rPr>
          <w:i/>
          <w:color w:val="3B3838"/>
          <w:sz w:val="18"/>
        </w:rPr>
        <w:t>Business</w:t>
      </w:r>
      <w:r>
        <w:rPr>
          <w:i/>
          <w:color w:val="3B3838"/>
          <w:spacing w:val="-1"/>
          <w:sz w:val="18"/>
        </w:rPr>
        <w:t> </w:t>
      </w:r>
      <w:r>
        <w:rPr>
          <w:i/>
          <w:color w:val="3B3838"/>
          <w:sz w:val="18"/>
        </w:rPr>
        <w:t>Studies</w:t>
      </w:r>
      <w:r>
        <w:rPr>
          <w:i/>
          <w:color w:val="3B3838"/>
          <w:spacing w:val="53"/>
          <w:sz w:val="18"/>
        </w:rPr>
        <w:t> </w:t>
      </w:r>
      <w:r>
        <w:rPr>
          <w:i/>
          <w:color w:val="111111"/>
          <w:sz w:val="18"/>
        </w:rPr>
        <w:t>IO</w:t>
      </w:r>
      <w:r>
        <w:rPr>
          <w:i/>
          <w:color w:val="111111"/>
          <w:spacing w:val="-11"/>
          <w:sz w:val="18"/>
        </w:rPr>
        <w:t> </w:t>
      </w:r>
      <w:r>
        <w:rPr>
          <w:i/>
          <w:color w:val="3B3838"/>
          <w:sz w:val="18"/>
        </w:rPr>
        <w:t>(2023)</w:t>
      </w:r>
      <w:r>
        <w:rPr>
          <w:i/>
          <w:color w:val="3B3838"/>
          <w:spacing w:val="-7"/>
          <w:sz w:val="18"/>
        </w:rPr>
        <w:t> </w:t>
      </w:r>
      <w:r>
        <w:rPr>
          <w:i/>
          <w:color w:val="3B3838"/>
          <w:sz w:val="18"/>
        </w:rPr>
        <w:t>5</w:t>
      </w:r>
      <w:r>
        <w:rPr>
          <w:color w:val="3B3838"/>
          <w:sz w:val="17"/>
        </w:rPr>
        <w:t>7</w:t>
      </w:r>
      <w:r>
        <w:rPr>
          <w:color w:val="111111"/>
          <w:sz w:val="17"/>
        </w:rPr>
        <w:t>-</w:t>
      </w:r>
      <w:r>
        <w:rPr>
          <w:i/>
          <w:color w:val="3B3838"/>
          <w:spacing w:val="-7"/>
          <w:sz w:val="18"/>
        </w:rPr>
        <w:t>77</w:t>
      </w:r>
    </w:p>
    <w:p>
      <w:pPr>
        <w:pStyle w:val="BodyText"/>
        <w:spacing w:before="144"/>
        <w:rPr>
          <w:i/>
          <w:sz w:val="18"/>
        </w:rPr>
      </w:pPr>
    </w:p>
    <w:p>
      <w:pPr>
        <w:pStyle w:val="Heading2"/>
        <w:spacing w:line="288" w:lineRule="auto" w:before="1"/>
        <w:ind w:left="182" w:right="192"/>
      </w:pPr>
      <w:r>
        <w:rPr>
          <w:color w:val="111111"/>
        </w:rPr>
        <w:t>employee productivity can be assessed through a combination of self-reported output measures and objective data obtained from HR departments (Cardon &amp; Heyes, 2006). This multifaceted approach ensures a comprehensive understanding of the relationships between these variables.</w:t>
      </w:r>
    </w:p>
    <w:p>
      <w:pPr>
        <w:pStyle w:val="ListParagraph"/>
        <w:numPr>
          <w:ilvl w:val="0"/>
          <w:numId w:val="1"/>
        </w:numPr>
        <w:tabs>
          <w:tab w:pos="402" w:val="left" w:leader="none"/>
        </w:tabs>
        <w:spacing w:line="240" w:lineRule="auto" w:before="112" w:after="0"/>
        <w:ind w:left="402" w:right="0" w:hanging="220"/>
        <w:jc w:val="both"/>
        <w:rPr>
          <w:b/>
          <w:color w:val="111111"/>
          <w:sz w:val="21"/>
        </w:rPr>
      </w:pPr>
      <w:r>
        <w:rPr>
          <w:b/>
          <w:color w:val="111111"/>
          <w:w w:val="105"/>
          <w:sz w:val="21"/>
        </w:rPr>
        <w:t>Data</w:t>
      </w:r>
      <w:r>
        <w:rPr>
          <w:b/>
          <w:color w:val="111111"/>
          <w:spacing w:val="-6"/>
          <w:w w:val="105"/>
          <w:sz w:val="21"/>
        </w:rPr>
        <w:t> </w:t>
      </w:r>
      <w:r>
        <w:rPr>
          <w:b/>
          <w:color w:val="111111"/>
          <w:w w:val="105"/>
          <w:sz w:val="21"/>
        </w:rPr>
        <w:t>Analysis</w:t>
      </w:r>
      <w:r>
        <w:rPr>
          <w:b/>
          <w:color w:val="111111"/>
          <w:spacing w:val="-3"/>
          <w:w w:val="105"/>
          <w:sz w:val="21"/>
        </w:rPr>
        <w:t> </w:t>
      </w:r>
      <w:r>
        <w:rPr>
          <w:b/>
          <w:color w:val="111111"/>
          <w:w w:val="105"/>
          <w:sz w:val="21"/>
        </w:rPr>
        <w:t>and</w:t>
      </w:r>
      <w:r>
        <w:rPr>
          <w:b/>
          <w:color w:val="111111"/>
          <w:spacing w:val="-12"/>
          <w:w w:val="105"/>
          <w:sz w:val="21"/>
        </w:rPr>
        <w:t> </w:t>
      </w:r>
      <w:r>
        <w:rPr>
          <w:b/>
          <w:color w:val="111111"/>
          <w:spacing w:val="-2"/>
          <w:w w:val="105"/>
          <w:sz w:val="21"/>
        </w:rPr>
        <w:t>Result</w:t>
      </w:r>
    </w:p>
    <w:p>
      <w:pPr>
        <w:pStyle w:val="Heading2"/>
        <w:spacing w:line="288" w:lineRule="auto" w:before="148"/>
        <w:ind w:right="184" w:hanging="1"/>
      </w:pPr>
      <w:r>
        <w:rPr>
          <w:color w:val="111111"/>
        </w:rPr>
        <w:t>Data analysis for this study will likely involve statistical techniques appropriate for</w:t>
      </w:r>
      <w:r>
        <w:rPr>
          <w:color w:val="111111"/>
          <w:spacing w:val="40"/>
        </w:rPr>
        <w:t> </w:t>
      </w:r>
      <w:r>
        <w:rPr>
          <w:color w:val="111111"/>
        </w:rPr>
        <w:t>examining mediating relationships (Hayes,</w:t>
      </w:r>
      <w:r>
        <w:rPr>
          <w:color w:val="111111"/>
          <w:spacing w:val="-1"/>
        </w:rPr>
        <w:t> </w:t>
      </w:r>
      <w:r>
        <w:rPr>
          <w:color w:val="111111"/>
        </w:rPr>
        <w:t>2018). Once the data is</w:t>
      </w:r>
      <w:r>
        <w:rPr>
          <w:color w:val="111111"/>
          <w:spacing w:val="-8"/>
        </w:rPr>
        <w:t> </w:t>
      </w:r>
      <w:r>
        <w:rPr>
          <w:color w:val="111111"/>
        </w:rPr>
        <w:t>collected through surveys and potentially HR records, software like SPSS 23</w:t>
      </w:r>
      <w:r>
        <w:rPr>
          <w:color w:val="111111"/>
          <w:spacing w:val="-2"/>
        </w:rPr>
        <w:t> </w:t>
      </w:r>
      <w:r>
        <w:rPr>
          <w:color w:val="111111"/>
        </w:rPr>
        <w:t>and SmartPLS 4</w:t>
      </w:r>
      <w:r>
        <w:rPr>
          <w:color w:val="111111"/>
          <w:spacing w:val="-4"/>
        </w:rPr>
        <w:t> </w:t>
      </w:r>
      <w:r>
        <w:rPr>
          <w:color w:val="111111"/>
        </w:rPr>
        <w:t>can be used to</w:t>
      </w:r>
      <w:r>
        <w:rPr>
          <w:color w:val="111111"/>
          <w:spacing w:val="-2"/>
        </w:rPr>
        <w:t> </w:t>
      </w:r>
      <w:r>
        <w:rPr>
          <w:color w:val="111111"/>
        </w:rPr>
        <w:t>assess the hypothesized</w:t>
      </w:r>
      <w:r>
        <w:rPr>
          <w:color w:val="111111"/>
          <w:spacing w:val="40"/>
        </w:rPr>
        <w:t> </w:t>
      </w:r>
      <w:r>
        <w:rPr>
          <w:color w:val="111111"/>
        </w:rPr>
        <w:t>model. The analysis will determine the direct effect of training and development (T&amp;D) on employee productivity, as well as the indirect effect mediated by training motivation. The results will reveal if T&amp;D programs enhance productivity and if training motivation plays a significant role in this relationship (Preacher &amp; Hayes</w:t>
      </w:r>
      <w:r>
        <w:rPr>
          <w:color w:val="3B3838"/>
        </w:rPr>
        <w:t>,</w:t>
      </w:r>
      <w:r>
        <w:rPr>
          <w:color w:val="3B3838"/>
          <w:spacing w:val="-9"/>
        </w:rPr>
        <w:t> </w:t>
      </w:r>
      <w:r>
        <w:rPr>
          <w:color w:val="111111"/>
        </w:rPr>
        <w:t>2008).</w:t>
      </w:r>
    </w:p>
    <w:p>
      <w:pPr>
        <w:pStyle w:val="ListParagraph"/>
        <w:numPr>
          <w:ilvl w:val="1"/>
          <w:numId w:val="1"/>
        </w:numPr>
        <w:tabs>
          <w:tab w:pos="511" w:val="left" w:leader="none"/>
        </w:tabs>
        <w:spacing w:line="240" w:lineRule="auto" w:before="104" w:after="0"/>
        <w:ind w:left="511" w:right="0" w:hanging="330"/>
        <w:jc w:val="both"/>
        <w:rPr>
          <w:i/>
          <w:color w:val="111111"/>
          <w:sz w:val="21"/>
        </w:rPr>
      </w:pPr>
      <w:r>
        <w:rPr>
          <w:i/>
          <w:color w:val="111111"/>
          <w:spacing w:val="-2"/>
          <w:w w:val="105"/>
          <w:sz w:val="21"/>
        </w:rPr>
        <w:t>Assessment</w:t>
      </w:r>
      <w:r>
        <w:rPr>
          <w:i/>
          <w:color w:val="111111"/>
          <w:spacing w:val="9"/>
          <w:w w:val="105"/>
          <w:sz w:val="21"/>
        </w:rPr>
        <w:t> </w:t>
      </w:r>
      <w:r>
        <w:rPr>
          <w:i/>
          <w:color w:val="111111"/>
          <w:spacing w:val="-2"/>
          <w:w w:val="105"/>
          <w:sz w:val="21"/>
        </w:rPr>
        <w:t>of</w:t>
      </w:r>
      <w:r>
        <w:rPr>
          <w:i/>
          <w:color w:val="111111"/>
          <w:spacing w:val="-9"/>
          <w:w w:val="105"/>
          <w:sz w:val="21"/>
        </w:rPr>
        <w:t> </w:t>
      </w:r>
      <w:r>
        <w:rPr>
          <w:i/>
          <w:color w:val="111111"/>
          <w:spacing w:val="-2"/>
          <w:w w:val="105"/>
          <w:sz w:val="21"/>
        </w:rPr>
        <w:t>Measurement</w:t>
      </w:r>
      <w:r>
        <w:rPr>
          <w:i/>
          <w:color w:val="111111"/>
          <w:spacing w:val="5"/>
          <w:w w:val="105"/>
          <w:sz w:val="21"/>
        </w:rPr>
        <w:t> </w:t>
      </w:r>
      <w:r>
        <w:rPr>
          <w:i/>
          <w:color w:val="111111"/>
          <w:spacing w:val="-2"/>
          <w:w w:val="105"/>
          <w:sz w:val="21"/>
        </w:rPr>
        <w:t>Model</w:t>
      </w:r>
    </w:p>
    <w:p>
      <w:pPr>
        <w:pStyle w:val="Heading2"/>
        <w:spacing w:line="288" w:lineRule="auto"/>
        <w:ind w:left="179" w:right="185" w:firstLine="2"/>
      </w:pPr>
      <w:r>
        <w:rPr>
          <w:color w:val="111111"/>
        </w:rPr>
        <w:t>Prior to examining the hypothesized relationships, this study on training and development (T&amp;D),</w:t>
      </w:r>
      <w:r>
        <w:rPr>
          <w:color w:val="111111"/>
          <w:spacing w:val="-1"/>
        </w:rPr>
        <w:t> </w:t>
      </w:r>
      <w:r>
        <w:rPr>
          <w:color w:val="111111"/>
        </w:rPr>
        <w:t>training</w:t>
      </w:r>
      <w:r>
        <w:rPr>
          <w:color w:val="111111"/>
          <w:spacing w:val="-10"/>
        </w:rPr>
        <w:t> </w:t>
      </w:r>
      <w:r>
        <w:rPr>
          <w:color w:val="111111"/>
        </w:rPr>
        <w:t>motivation, and</w:t>
      </w:r>
      <w:r>
        <w:rPr>
          <w:color w:val="111111"/>
          <w:spacing w:val="-7"/>
        </w:rPr>
        <w:t> </w:t>
      </w:r>
      <w:r>
        <w:rPr>
          <w:color w:val="111111"/>
        </w:rPr>
        <w:t>employee</w:t>
      </w:r>
      <w:r>
        <w:rPr>
          <w:color w:val="111111"/>
          <w:spacing w:val="-7"/>
        </w:rPr>
        <w:t> </w:t>
      </w:r>
      <w:r>
        <w:rPr>
          <w:color w:val="111111"/>
        </w:rPr>
        <w:t>productivity will</w:t>
      </w:r>
      <w:r>
        <w:rPr>
          <w:color w:val="111111"/>
          <w:spacing w:val="-5"/>
        </w:rPr>
        <w:t> </w:t>
      </w:r>
      <w:r>
        <w:rPr>
          <w:color w:val="111111"/>
        </w:rPr>
        <w:t>involve</w:t>
      </w:r>
      <w:r>
        <w:rPr>
          <w:color w:val="111111"/>
          <w:spacing w:val="-1"/>
        </w:rPr>
        <w:t> </w:t>
      </w:r>
      <w:r>
        <w:rPr>
          <w:color w:val="111111"/>
        </w:rPr>
        <w:t>a</w:t>
      </w:r>
      <w:r>
        <w:rPr>
          <w:color w:val="111111"/>
          <w:spacing w:val="-14"/>
        </w:rPr>
        <w:t> </w:t>
      </w:r>
      <w:r>
        <w:rPr>
          <w:color w:val="111111"/>
        </w:rPr>
        <w:t>thorough assessment of the measurement model (Hair et al., 2019). This initial step ensures the measures used accurately capture their intended constructs</w:t>
      </w:r>
      <w:r>
        <w:rPr>
          <w:color w:val="3B3838"/>
        </w:rPr>
        <w:t>. </w:t>
      </w:r>
      <w:r>
        <w:rPr>
          <w:color w:val="111111"/>
        </w:rPr>
        <w:t>Techniques like confirmatory factor analysis (CFA) will be employed to evaluate the factor loadings (standardized</w:t>
      </w:r>
      <w:r>
        <w:rPr>
          <w:color w:val="111111"/>
          <w:spacing w:val="39"/>
        </w:rPr>
        <w:t> </w:t>
      </w:r>
      <w:r>
        <w:rPr>
          <w:color w:val="111111"/>
        </w:rPr>
        <w:t>coefficients between the</w:t>
      </w:r>
      <w:r>
        <w:rPr>
          <w:color w:val="111111"/>
          <w:spacing w:val="-3"/>
        </w:rPr>
        <w:t> </w:t>
      </w:r>
      <w:r>
        <w:rPr>
          <w:color w:val="111111"/>
        </w:rPr>
        <w:t>measures and their underlying constructs) for</w:t>
      </w:r>
      <w:r>
        <w:rPr>
          <w:color w:val="111111"/>
          <w:spacing w:val="-3"/>
        </w:rPr>
        <w:t> </w:t>
      </w:r>
      <w:r>
        <w:rPr>
          <w:color w:val="111111"/>
        </w:rPr>
        <w:t>T&amp;D, training motivation, and</w:t>
      </w:r>
      <w:r>
        <w:rPr>
          <w:color w:val="111111"/>
          <w:spacing w:val="-3"/>
        </w:rPr>
        <w:t> </w:t>
      </w:r>
      <w:r>
        <w:rPr>
          <w:color w:val="111111"/>
        </w:rPr>
        <w:t>productivity scales</w:t>
      </w:r>
      <w:r>
        <w:rPr>
          <w:color w:val="111111"/>
          <w:spacing w:val="-9"/>
        </w:rPr>
        <w:t> </w:t>
      </w:r>
      <w:r>
        <w:rPr>
          <w:color w:val="111111"/>
        </w:rPr>
        <w:t>(Anderson &amp;</w:t>
      </w:r>
      <w:r>
        <w:rPr>
          <w:color w:val="111111"/>
          <w:spacing w:val="-10"/>
        </w:rPr>
        <w:t> </w:t>
      </w:r>
      <w:r>
        <w:rPr>
          <w:color w:val="111111"/>
        </w:rPr>
        <w:t>Gerbing,</w:t>
      </w:r>
      <w:r>
        <w:rPr>
          <w:color w:val="111111"/>
          <w:spacing w:val="-2"/>
        </w:rPr>
        <w:t> </w:t>
      </w:r>
      <w:r>
        <w:rPr>
          <w:color w:val="111111"/>
        </w:rPr>
        <w:t>1988).</w:t>
      </w:r>
      <w:r>
        <w:rPr>
          <w:color w:val="111111"/>
          <w:spacing w:val="-5"/>
        </w:rPr>
        <w:t> </w:t>
      </w:r>
      <w:r>
        <w:rPr>
          <w:color w:val="111111"/>
        </w:rPr>
        <w:t>Internal</w:t>
      </w:r>
      <w:r>
        <w:rPr>
          <w:color w:val="111111"/>
          <w:spacing w:val="-1"/>
        </w:rPr>
        <w:t> </w:t>
      </w:r>
      <w:r>
        <w:rPr>
          <w:color w:val="111111"/>
        </w:rPr>
        <w:t>consistency (reliability) will</w:t>
      </w:r>
      <w:r>
        <w:rPr>
          <w:color w:val="111111"/>
          <w:spacing w:val="-5"/>
        </w:rPr>
        <w:t> </w:t>
      </w:r>
      <w:r>
        <w:rPr>
          <w:color w:val="111111"/>
        </w:rPr>
        <w:t>be</w:t>
      </w:r>
      <w:r>
        <w:rPr>
          <w:color w:val="111111"/>
          <w:spacing w:val="-9"/>
        </w:rPr>
        <w:t> </w:t>
      </w:r>
      <w:r>
        <w:rPr>
          <w:color w:val="111111"/>
        </w:rPr>
        <w:t>assessed</w:t>
      </w:r>
      <w:r>
        <w:rPr>
          <w:color w:val="111111"/>
          <w:spacing w:val="-1"/>
        </w:rPr>
        <w:t> </w:t>
      </w:r>
      <w:r>
        <w:rPr>
          <w:color w:val="111111"/>
        </w:rPr>
        <w:t>through composite reliability (CR) to confirm if the measures within each construct share a strong common core</w:t>
      </w:r>
      <w:r>
        <w:rPr>
          <w:color w:val="111111"/>
          <w:spacing w:val="-3"/>
        </w:rPr>
        <w:t> </w:t>
      </w:r>
      <w:r>
        <w:rPr>
          <w:color w:val="111111"/>
        </w:rPr>
        <w:t>(Hair</w:t>
      </w:r>
      <w:r>
        <w:rPr>
          <w:color w:val="111111"/>
          <w:spacing w:val="-4"/>
        </w:rPr>
        <w:t> </w:t>
      </w:r>
      <w:r>
        <w:rPr>
          <w:color w:val="111111"/>
        </w:rPr>
        <w:t>et</w:t>
      </w:r>
      <w:r>
        <w:rPr>
          <w:color w:val="111111"/>
          <w:spacing w:val="-10"/>
        </w:rPr>
        <w:t> </w:t>
      </w:r>
      <w:r>
        <w:rPr>
          <w:color w:val="111111"/>
        </w:rPr>
        <w:t>al.,</w:t>
      </w:r>
      <w:r>
        <w:rPr>
          <w:color w:val="111111"/>
          <w:spacing w:val="-7"/>
        </w:rPr>
        <w:t> </w:t>
      </w:r>
      <w:r>
        <w:rPr>
          <w:color w:val="111111"/>
        </w:rPr>
        <w:t>2019).</w:t>
      </w:r>
      <w:r>
        <w:rPr>
          <w:color w:val="111111"/>
          <w:spacing w:val="-2"/>
        </w:rPr>
        <w:t> </w:t>
      </w:r>
      <w:r>
        <w:rPr>
          <w:color w:val="111111"/>
        </w:rPr>
        <w:t>Finally,</w:t>
      </w:r>
      <w:r>
        <w:rPr>
          <w:color w:val="111111"/>
          <w:spacing w:val="-3"/>
        </w:rPr>
        <w:t> </w:t>
      </w:r>
      <w:r>
        <w:rPr>
          <w:color w:val="111111"/>
        </w:rPr>
        <w:t>discriminant validity will</w:t>
      </w:r>
      <w:r>
        <w:rPr>
          <w:color w:val="111111"/>
          <w:spacing w:val="-2"/>
        </w:rPr>
        <w:t> </w:t>
      </w:r>
      <w:r>
        <w:rPr>
          <w:color w:val="111111"/>
        </w:rPr>
        <w:t>be</w:t>
      </w:r>
      <w:r>
        <w:rPr>
          <w:color w:val="111111"/>
          <w:spacing w:val="-10"/>
        </w:rPr>
        <w:t> </w:t>
      </w:r>
      <w:r>
        <w:rPr>
          <w:color w:val="111111"/>
        </w:rPr>
        <w:t>examined to</w:t>
      </w:r>
      <w:r>
        <w:rPr>
          <w:color w:val="111111"/>
          <w:spacing w:val="-9"/>
        </w:rPr>
        <w:t> </w:t>
      </w:r>
      <w:r>
        <w:rPr>
          <w:color w:val="111111"/>
        </w:rPr>
        <w:t>ensure the constructs are</w:t>
      </w:r>
      <w:r>
        <w:rPr>
          <w:color w:val="111111"/>
          <w:spacing w:val="-5"/>
        </w:rPr>
        <w:t> </w:t>
      </w:r>
      <w:r>
        <w:rPr>
          <w:color w:val="111111"/>
        </w:rPr>
        <w:t>distinct from each other (Fornell &amp; Larcker, 1981). Establishing a</w:t>
      </w:r>
      <w:r>
        <w:rPr>
          <w:color w:val="111111"/>
          <w:spacing w:val="-2"/>
        </w:rPr>
        <w:t> </w:t>
      </w:r>
      <w:r>
        <w:rPr>
          <w:color w:val="111111"/>
        </w:rPr>
        <w:t>reliable and valid measurement model is crucial before proceeding with the analysis of the hypothesized </w:t>
      </w:r>
      <w:r>
        <w:rPr>
          <w:color w:val="111111"/>
          <w:spacing w:val="-2"/>
        </w:rPr>
        <w:t>relationships.</w:t>
      </w:r>
    </w:p>
    <w:p>
      <w:pPr>
        <w:pStyle w:val="ListParagraph"/>
        <w:numPr>
          <w:ilvl w:val="2"/>
          <w:numId w:val="1"/>
        </w:numPr>
        <w:tabs>
          <w:tab w:pos="673" w:val="left" w:leader="none"/>
        </w:tabs>
        <w:spacing w:line="240" w:lineRule="auto" w:before="101" w:after="0"/>
        <w:ind w:left="673" w:right="0" w:hanging="492"/>
        <w:jc w:val="both"/>
        <w:rPr>
          <w:i/>
          <w:color w:val="111111"/>
          <w:sz w:val="21"/>
        </w:rPr>
      </w:pPr>
      <w:r>
        <w:rPr>
          <w:i/>
          <w:color w:val="111111"/>
          <w:w w:val="105"/>
          <w:sz w:val="21"/>
        </w:rPr>
        <w:t>Constructs'</w:t>
      </w:r>
      <w:r>
        <w:rPr>
          <w:i/>
          <w:color w:val="111111"/>
          <w:spacing w:val="5"/>
          <w:w w:val="105"/>
          <w:sz w:val="21"/>
        </w:rPr>
        <w:t> </w:t>
      </w:r>
      <w:r>
        <w:rPr>
          <w:i/>
          <w:color w:val="111111"/>
          <w:w w:val="105"/>
          <w:sz w:val="21"/>
        </w:rPr>
        <w:t>Reliability</w:t>
      </w:r>
      <w:r>
        <w:rPr>
          <w:i/>
          <w:color w:val="111111"/>
          <w:spacing w:val="-10"/>
          <w:w w:val="105"/>
          <w:sz w:val="21"/>
        </w:rPr>
        <w:t> </w:t>
      </w:r>
      <w:r>
        <w:rPr>
          <w:i/>
          <w:color w:val="111111"/>
          <w:w w:val="105"/>
          <w:sz w:val="21"/>
        </w:rPr>
        <w:t>and</w:t>
      </w:r>
      <w:r>
        <w:rPr>
          <w:i/>
          <w:color w:val="111111"/>
          <w:spacing w:val="-8"/>
          <w:w w:val="105"/>
          <w:sz w:val="21"/>
        </w:rPr>
        <w:t> </w:t>
      </w:r>
      <w:r>
        <w:rPr>
          <w:i/>
          <w:color w:val="111111"/>
          <w:w w:val="105"/>
          <w:sz w:val="21"/>
        </w:rPr>
        <w:t>Convergent</w:t>
      </w:r>
      <w:r>
        <w:rPr>
          <w:i/>
          <w:color w:val="111111"/>
          <w:spacing w:val="-3"/>
          <w:w w:val="105"/>
          <w:sz w:val="21"/>
        </w:rPr>
        <w:t> </w:t>
      </w:r>
      <w:r>
        <w:rPr>
          <w:i/>
          <w:color w:val="111111"/>
          <w:spacing w:val="-2"/>
          <w:w w:val="105"/>
          <w:sz w:val="21"/>
        </w:rPr>
        <w:t>Validity</w:t>
      </w:r>
    </w:p>
    <w:p>
      <w:pPr>
        <w:pStyle w:val="Heading2"/>
        <w:spacing w:line="288" w:lineRule="auto"/>
        <w:ind w:right="186" w:firstLine="1"/>
      </w:pPr>
      <w:r>
        <w:rPr>
          <w:color w:val="111111"/>
        </w:rPr>
        <w:t>Assessing the</w:t>
      </w:r>
      <w:r>
        <w:rPr>
          <w:color w:val="111111"/>
          <w:spacing w:val="-1"/>
        </w:rPr>
        <w:t> </w:t>
      </w:r>
      <w:r>
        <w:rPr>
          <w:color w:val="111111"/>
        </w:rPr>
        <w:t>measurement model in</w:t>
      </w:r>
      <w:r>
        <w:rPr>
          <w:color w:val="111111"/>
          <w:spacing w:val="-2"/>
        </w:rPr>
        <w:t> </w:t>
      </w:r>
      <w:r>
        <w:rPr>
          <w:color w:val="111111"/>
        </w:rPr>
        <w:t>this</w:t>
      </w:r>
      <w:r>
        <w:rPr>
          <w:color w:val="111111"/>
          <w:spacing w:val="-3"/>
        </w:rPr>
        <w:t> </w:t>
      </w:r>
      <w:r>
        <w:rPr>
          <w:color w:val="111111"/>
        </w:rPr>
        <w:t>study on training</w:t>
      </w:r>
      <w:r>
        <w:rPr>
          <w:color w:val="111111"/>
          <w:spacing w:val="-2"/>
        </w:rPr>
        <w:t> </w:t>
      </w:r>
      <w:r>
        <w:rPr>
          <w:color w:val="111111"/>
        </w:rPr>
        <w:t>and development (T&amp;D)</w:t>
      </w:r>
      <w:r>
        <w:rPr>
          <w:color w:val="3B3838"/>
        </w:rPr>
        <w:t>,</w:t>
      </w:r>
      <w:r>
        <w:rPr>
          <w:color w:val="3B3838"/>
          <w:spacing w:val="-13"/>
        </w:rPr>
        <w:t> </w:t>
      </w:r>
      <w:r>
        <w:rPr>
          <w:color w:val="111111"/>
        </w:rPr>
        <w:t>training motivation, and employee productivity is crucial to ensure reliable and valid results (Hair et al.</w:t>
      </w:r>
      <w:r>
        <w:rPr>
          <w:color w:val="3B3838"/>
        </w:rPr>
        <w:t>, </w:t>
      </w:r>
      <w:r>
        <w:rPr>
          <w:color w:val="111111"/>
        </w:rPr>
        <w:t>2019). One key aspect of this assessment involves evaluating constructs' reliability and convergent validity. Composite Reliability (CR) will be calculated to determine internal consistency, indicating whether the measures designed to capture each construct (T&amp;D, training motivation, and productivity) share a strong common core (Hair et al., 2019). Convergent validity</w:t>
      </w:r>
      <w:r>
        <w:rPr>
          <w:color w:val="111111"/>
          <w:spacing w:val="-4"/>
        </w:rPr>
        <w:t> </w:t>
      </w:r>
      <w:r>
        <w:rPr>
          <w:color w:val="111111"/>
        </w:rPr>
        <w:t>will</w:t>
      </w:r>
      <w:r>
        <w:rPr>
          <w:color w:val="111111"/>
          <w:spacing w:val="-5"/>
        </w:rPr>
        <w:t> </w:t>
      </w:r>
      <w:r>
        <w:rPr>
          <w:color w:val="111111"/>
        </w:rPr>
        <w:t>be</w:t>
      </w:r>
      <w:r>
        <w:rPr>
          <w:color w:val="111111"/>
          <w:spacing w:val="-11"/>
        </w:rPr>
        <w:t> </w:t>
      </w:r>
      <w:r>
        <w:rPr>
          <w:color w:val="111111"/>
        </w:rPr>
        <w:t>examined through</w:t>
      </w:r>
      <w:r>
        <w:rPr>
          <w:color w:val="111111"/>
          <w:spacing w:val="-2"/>
        </w:rPr>
        <w:t> </w:t>
      </w:r>
      <w:r>
        <w:rPr>
          <w:color w:val="111111"/>
        </w:rPr>
        <w:t>factor</w:t>
      </w:r>
      <w:r>
        <w:rPr>
          <w:color w:val="111111"/>
          <w:spacing w:val="-9"/>
        </w:rPr>
        <w:t> </w:t>
      </w:r>
      <w:r>
        <w:rPr>
          <w:color w:val="111111"/>
        </w:rPr>
        <w:t>loadings,</w:t>
      </w:r>
      <w:r>
        <w:rPr>
          <w:color w:val="111111"/>
          <w:spacing w:val="-5"/>
        </w:rPr>
        <w:t> </w:t>
      </w:r>
      <w:r>
        <w:rPr>
          <w:color w:val="111111"/>
        </w:rPr>
        <w:t>which represent the</w:t>
      </w:r>
      <w:r>
        <w:rPr>
          <w:color w:val="111111"/>
          <w:spacing w:val="-13"/>
        </w:rPr>
        <w:t> </w:t>
      </w:r>
      <w:r>
        <w:rPr>
          <w:color w:val="111111"/>
        </w:rPr>
        <w:t>strength</w:t>
      </w:r>
      <w:r>
        <w:rPr>
          <w:color w:val="111111"/>
          <w:spacing w:val="-2"/>
        </w:rPr>
        <w:t> </w:t>
      </w:r>
      <w:r>
        <w:rPr>
          <w:color w:val="111111"/>
        </w:rPr>
        <w:t>of the relationship between each measure and its underlying construct. Ideally, these factor loadings should be statistically significant and exceed 0.70, demonstrating that the measures are effectively capturing their intended constructs (Fornell &amp; Larcker, 1981).</w:t>
      </w:r>
    </w:p>
    <w:p>
      <w:pPr>
        <w:pStyle w:val="BodyText"/>
        <w:spacing w:before="232"/>
        <w:rPr>
          <w:sz w:val="22"/>
        </w:rPr>
      </w:pPr>
    </w:p>
    <w:p>
      <w:pPr>
        <w:spacing w:before="1"/>
        <w:ind w:left="854" w:right="823" w:firstLine="0"/>
        <w:jc w:val="center"/>
        <w:rPr>
          <w:sz w:val="17"/>
        </w:rPr>
      </w:pPr>
      <w:r>
        <w:rPr>
          <w:color w:val="3B3838"/>
          <w:spacing w:val="-5"/>
          <w:w w:val="105"/>
          <w:sz w:val="17"/>
        </w:rPr>
        <w:t>65</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66" w:id="10"/>
      <w:bookmarkEnd w:id="10"/>
      <w:r>
        <w:rPr/>
      </w:r>
      <w:r>
        <w:rPr>
          <w:i/>
          <w:color w:val="3B383A"/>
          <w:sz w:val="18"/>
        </w:rPr>
        <w:t>Mahbub</w:t>
      </w:r>
      <w:r>
        <w:rPr>
          <w:i/>
          <w:color w:val="565454"/>
          <w:sz w:val="18"/>
        </w:rPr>
        <w:t>/</w:t>
      </w:r>
      <w:r>
        <w:rPr>
          <w:i/>
          <w:color w:val="3B383A"/>
          <w:sz w:val="18"/>
        </w:rPr>
        <w:t>Comilla</w:t>
      </w:r>
      <w:r>
        <w:rPr>
          <w:i/>
          <w:color w:val="3B383A"/>
          <w:spacing w:val="-12"/>
          <w:sz w:val="18"/>
        </w:rPr>
        <w:t> </w:t>
      </w:r>
      <w:r>
        <w:rPr>
          <w:i/>
          <w:color w:val="3B383A"/>
          <w:sz w:val="18"/>
        </w:rPr>
        <w:t>Un</w:t>
      </w:r>
      <w:r>
        <w:rPr>
          <w:i/>
          <w:color w:val="111313"/>
          <w:sz w:val="18"/>
        </w:rPr>
        <w:t>i</w:t>
      </w:r>
      <w:r>
        <w:rPr>
          <w:i/>
          <w:color w:val="3B383A"/>
          <w:sz w:val="18"/>
        </w:rPr>
        <w:t>versity</w:t>
      </w:r>
      <w:r>
        <w:rPr>
          <w:i/>
          <w:color w:val="3B383A"/>
          <w:spacing w:val="-11"/>
          <w:sz w:val="18"/>
        </w:rPr>
        <w:t> </w:t>
      </w:r>
      <w:r>
        <w:rPr>
          <w:i/>
          <w:color w:val="3B383A"/>
          <w:sz w:val="18"/>
        </w:rPr>
        <w:t>Journal</w:t>
      </w:r>
      <w:r>
        <w:rPr>
          <w:i/>
          <w:color w:val="3B383A"/>
          <w:spacing w:val="-3"/>
          <w:sz w:val="18"/>
        </w:rPr>
        <w:t> </w:t>
      </w:r>
      <w:r>
        <w:rPr>
          <w:i/>
          <w:color w:val="3B383A"/>
          <w:sz w:val="18"/>
        </w:rPr>
        <w:t>of</w:t>
      </w:r>
      <w:r>
        <w:rPr>
          <w:i/>
          <w:color w:val="3B383A"/>
          <w:spacing w:val="-4"/>
          <w:sz w:val="18"/>
        </w:rPr>
        <w:t> </w:t>
      </w:r>
      <w:r>
        <w:rPr>
          <w:i/>
          <w:color w:val="3B383A"/>
          <w:sz w:val="18"/>
        </w:rPr>
        <w:t>Business</w:t>
      </w:r>
      <w:r>
        <w:rPr>
          <w:i/>
          <w:color w:val="3B383A"/>
          <w:spacing w:val="-1"/>
          <w:sz w:val="18"/>
        </w:rPr>
        <w:t> </w:t>
      </w:r>
      <w:r>
        <w:rPr>
          <w:i/>
          <w:color w:val="3B383A"/>
          <w:sz w:val="18"/>
        </w:rPr>
        <w:t>Studies</w:t>
      </w:r>
      <w:r>
        <w:rPr>
          <w:i/>
          <w:color w:val="3B383A"/>
          <w:spacing w:val="53"/>
          <w:sz w:val="18"/>
        </w:rPr>
        <w:t> </w:t>
      </w:r>
      <w:r>
        <w:rPr>
          <w:i/>
          <w:color w:val="111313"/>
          <w:sz w:val="18"/>
        </w:rPr>
        <w:t>IO</w:t>
      </w:r>
      <w:r>
        <w:rPr>
          <w:i/>
          <w:color w:val="111313"/>
          <w:spacing w:val="-11"/>
          <w:sz w:val="18"/>
        </w:rPr>
        <w:t> </w:t>
      </w:r>
      <w:r>
        <w:rPr>
          <w:i/>
          <w:color w:val="3B383A"/>
          <w:sz w:val="18"/>
        </w:rPr>
        <w:t>(2023)</w:t>
      </w:r>
      <w:r>
        <w:rPr>
          <w:i/>
          <w:color w:val="3B383A"/>
          <w:spacing w:val="-7"/>
          <w:sz w:val="18"/>
        </w:rPr>
        <w:t> </w:t>
      </w:r>
      <w:r>
        <w:rPr>
          <w:i/>
          <w:color w:val="3B383A"/>
          <w:sz w:val="18"/>
        </w:rPr>
        <w:t>5</w:t>
      </w:r>
      <w:r>
        <w:rPr>
          <w:color w:val="3B383A"/>
          <w:sz w:val="17"/>
        </w:rPr>
        <w:t>7</w:t>
      </w:r>
      <w:r>
        <w:rPr>
          <w:color w:val="111313"/>
          <w:sz w:val="17"/>
        </w:rPr>
        <w:t>-</w:t>
      </w:r>
      <w:r>
        <w:rPr>
          <w:i/>
          <w:color w:val="3B383A"/>
          <w:spacing w:val="-7"/>
          <w:sz w:val="18"/>
        </w:rPr>
        <w:t>77</w:t>
      </w:r>
    </w:p>
    <w:p>
      <w:pPr>
        <w:pStyle w:val="BodyText"/>
        <w:spacing w:before="149"/>
        <w:rPr>
          <w:i/>
          <w:sz w:val="18"/>
        </w:rPr>
      </w:pPr>
    </w:p>
    <w:p>
      <w:pPr>
        <w:pStyle w:val="BodyText"/>
        <w:ind w:left="823" w:right="823"/>
        <w:jc w:val="center"/>
      </w:pPr>
      <w:r>
        <w:rPr>
          <w:b/>
          <w:color w:val="111313"/>
        </w:rPr>
        <w:t>Table</w:t>
      </w:r>
      <w:r>
        <w:rPr>
          <w:b/>
          <w:color w:val="111313"/>
          <w:spacing w:val="3"/>
        </w:rPr>
        <w:t> </w:t>
      </w:r>
      <w:r>
        <w:rPr>
          <w:b/>
          <w:color w:val="111313"/>
        </w:rPr>
        <w:t>1:</w:t>
      </w:r>
      <w:r>
        <w:rPr>
          <w:b/>
          <w:color w:val="111313"/>
          <w:spacing w:val="-4"/>
        </w:rPr>
        <w:t> </w:t>
      </w:r>
      <w:r>
        <w:rPr>
          <w:color w:val="111313"/>
        </w:rPr>
        <w:t>Constructs'</w:t>
      </w:r>
      <w:r>
        <w:rPr>
          <w:color w:val="111313"/>
          <w:spacing w:val="28"/>
        </w:rPr>
        <w:t> </w:t>
      </w:r>
      <w:r>
        <w:rPr>
          <w:color w:val="111313"/>
        </w:rPr>
        <w:t>Reliability</w:t>
      </w:r>
      <w:r>
        <w:rPr>
          <w:color w:val="111313"/>
          <w:spacing w:val="6"/>
        </w:rPr>
        <w:t> </w:t>
      </w:r>
      <w:r>
        <w:rPr>
          <w:color w:val="111313"/>
        </w:rPr>
        <w:t>and</w:t>
      </w:r>
      <w:r>
        <w:rPr>
          <w:color w:val="111313"/>
          <w:spacing w:val="10"/>
        </w:rPr>
        <w:t> </w:t>
      </w:r>
      <w:r>
        <w:rPr>
          <w:color w:val="111313"/>
        </w:rPr>
        <w:t>Convergent</w:t>
      </w:r>
      <w:r>
        <w:rPr>
          <w:color w:val="111313"/>
          <w:spacing w:val="16"/>
        </w:rPr>
        <w:t> </w:t>
      </w:r>
      <w:r>
        <w:rPr>
          <w:color w:val="111313"/>
          <w:spacing w:val="-2"/>
        </w:rPr>
        <w:t>Validity</w:t>
      </w:r>
    </w:p>
    <w:p>
      <w:pPr>
        <w:pStyle w:val="BodyText"/>
        <w:spacing w:before="4"/>
        <w:rPr>
          <w:sz w:val="15"/>
        </w:rPr>
      </w:pPr>
    </w:p>
    <w:p>
      <w:pPr>
        <w:spacing w:line="20" w:lineRule="exact"/>
        <w:ind w:left="329" w:right="0" w:firstLine="0"/>
        <w:rPr>
          <w:sz w:val="2"/>
        </w:rPr>
      </w:pPr>
      <w:r>
        <w:rPr>
          <w:sz w:val="2"/>
        </w:rPr>
        <mc:AlternateContent>
          <mc:Choice Requires="wps">
            <w:drawing>
              <wp:inline distT="0" distB="0" distL="0" distR="0">
                <wp:extent cx="5059045" cy="12700"/>
                <wp:effectExtent l="0" t="0" r="0" b="0"/>
                <wp:docPr id="5" name="Group 5"/>
                <wp:cNvGraphicFramePr>
                  <a:graphicFrameLocks/>
                </wp:cNvGraphicFramePr>
                <a:graphic>
                  <a:graphicData uri="http://schemas.microsoft.com/office/word/2010/wordprocessingGroup">
                    <wpg:wgp>
                      <wpg:cNvPr id="5" name="Group 5"/>
                      <wpg:cNvGrpSpPr/>
                      <wpg:grpSpPr>
                        <a:xfrm>
                          <a:off x="0" y="0"/>
                          <a:ext cx="5059045" cy="12700"/>
                          <a:chExt cx="5059045" cy="12700"/>
                        </a:xfrm>
                      </wpg:grpSpPr>
                      <wps:wsp>
                        <wps:cNvPr id="6" name="Graphic 6"/>
                        <wps:cNvSpPr/>
                        <wps:spPr>
                          <a:xfrm>
                            <a:off x="-5" y="2"/>
                            <a:ext cx="5059045" cy="12700"/>
                          </a:xfrm>
                          <a:custGeom>
                            <a:avLst/>
                            <a:gdLst/>
                            <a:ahLst/>
                            <a:cxnLst/>
                            <a:rect l="l" t="t" r="r" b="b"/>
                            <a:pathLst>
                              <a:path w="5059045" h="12700">
                                <a:moveTo>
                                  <a:pt x="5058918" y="0"/>
                                </a:moveTo>
                                <a:lnTo>
                                  <a:pt x="3923080" y="0"/>
                                </a:lnTo>
                                <a:lnTo>
                                  <a:pt x="0" y="0"/>
                                </a:lnTo>
                                <a:lnTo>
                                  <a:pt x="0" y="12496"/>
                                </a:lnTo>
                                <a:lnTo>
                                  <a:pt x="3923080" y="12496"/>
                                </a:lnTo>
                                <a:lnTo>
                                  <a:pt x="5058918" y="12496"/>
                                </a:lnTo>
                                <a:lnTo>
                                  <a:pt x="5058918" y="0"/>
                                </a:lnTo>
                                <a:close/>
                              </a:path>
                            </a:pathLst>
                          </a:custGeom>
                          <a:solidFill>
                            <a:srgbClr val="99B94E"/>
                          </a:solidFill>
                        </wps:spPr>
                        <wps:bodyPr wrap="square" lIns="0" tIns="0" rIns="0" bIns="0" rtlCol="0">
                          <a:prstTxWarp prst="textNoShape">
                            <a:avLst/>
                          </a:prstTxWarp>
                          <a:noAutofit/>
                        </wps:bodyPr>
                      </wps:wsp>
                    </wpg:wgp>
                  </a:graphicData>
                </a:graphic>
              </wp:inline>
            </w:drawing>
          </mc:Choice>
          <mc:Fallback>
            <w:pict>
              <v:group style="width:398.35pt;height:1pt;mso-position-horizontal-relative:char;mso-position-vertical-relative:line" id="docshapegroup5" coordorigin="0,0" coordsize="7967,20">
                <v:shape style="position:absolute;left:0;top:0;width:7967;height:20" id="docshape6" coordorigin="0,0" coordsize="7967,20" path="m7967,0l6178,0,0,0,0,20,6178,20,7967,20,7967,0xe" filled="true" fillcolor="#99b94e" stroked="false">
                  <v:path arrowok="t"/>
                  <v:fill type="solid"/>
                </v:shape>
              </v:group>
            </w:pict>
          </mc:Fallback>
        </mc:AlternateContent>
      </w:r>
      <w:r>
        <w:rPr>
          <w:sz w:val="2"/>
        </w:rPr>
      </w:r>
    </w:p>
    <w:p>
      <w:pPr>
        <w:spacing w:after="0" w:line="20" w:lineRule="exact"/>
        <w:rPr>
          <w:sz w:val="2"/>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13"/>
        <w:ind w:left="713" w:right="0" w:firstLine="0"/>
        <w:jc w:val="left"/>
        <w:rPr>
          <w:b/>
          <w:sz w:val="21"/>
        </w:rPr>
      </w:pPr>
      <w:r>
        <w:rPr>
          <w:b/>
          <w:color w:val="111313"/>
          <w:sz w:val="21"/>
        </w:rPr>
        <w:t>Factor</w:t>
      </w:r>
      <w:r>
        <w:rPr>
          <w:b/>
          <w:color w:val="111313"/>
          <w:spacing w:val="7"/>
          <w:sz w:val="21"/>
        </w:rPr>
        <w:t> </w:t>
      </w:r>
      <w:r>
        <w:rPr>
          <w:b/>
          <w:color w:val="111313"/>
          <w:spacing w:val="-2"/>
          <w:sz w:val="21"/>
        </w:rPr>
        <w:t>Loading</w:t>
      </w:r>
    </w:p>
    <w:p>
      <w:pPr>
        <w:tabs>
          <w:tab w:pos="1859" w:val="left" w:leader="none"/>
        </w:tabs>
        <w:spacing w:line="295" w:lineRule="auto" w:before="13"/>
        <w:ind w:left="745" w:right="0" w:hanging="252"/>
        <w:jc w:val="left"/>
        <w:rPr>
          <w:b/>
          <w:sz w:val="21"/>
        </w:rPr>
      </w:pPr>
      <w:r>
        <w:rPr/>
        <w:br w:type="column"/>
      </w:r>
      <w:r>
        <w:rPr>
          <w:b/>
          <w:color w:val="111313"/>
          <w:spacing w:val="-2"/>
          <w:sz w:val="21"/>
        </w:rPr>
        <w:t>Cronbach's</w:t>
      </w:r>
      <w:r>
        <w:rPr>
          <w:b/>
          <w:color w:val="111313"/>
          <w:sz w:val="21"/>
        </w:rPr>
        <w:tab/>
      </w:r>
      <w:r>
        <w:rPr>
          <w:b/>
          <w:color w:val="111313"/>
          <w:spacing w:val="-2"/>
          <w:sz w:val="21"/>
        </w:rPr>
        <w:t>Composite Alpha</w:t>
      </w:r>
      <w:r>
        <w:rPr>
          <w:b/>
          <w:color w:val="111313"/>
          <w:sz w:val="21"/>
        </w:rPr>
        <w:tab/>
      </w:r>
      <w:r>
        <w:rPr>
          <w:b/>
          <w:color w:val="111313"/>
          <w:spacing w:val="-44"/>
          <w:sz w:val="21"/>
        </w:rPr>
        <w:t> </w:t>
      </w:r>
      <w:r>
        <w:rPr>
          <w:b/>
          <w:color w:val="111313"/>
          <w:spacing w:val="-2"/>
          <w:sz w:val="21"/>
        </w:rPr>
        <w:t>Reliability</w:t>
      </w:r>
    </w:p>
    <w:p>
      <w:pPr>
        <w:spacing w:line="234" w:lineRule="exact" w:before="0"/>
        <w:ind w:left="2003" w:right="0" w:firstLine="0"/>
        <w:jc w:val="left"/>
        <w:rPr>
          <w:b/>
          <w:sz w:val="21"/>
        </w:rPr>
      </w:pPr>
      <w:r>
        <w:rPr>
          <w:b/>
          <w:color w:val="111313"/>
          <w:spacing w:val="-2"/>
          <w:sz w:val="21"/>
        </w:rPr>
        <w:t>(rho_a)</w:t>
      </w:r>
    </w:p>
    <w:p>
      <w:pPr>
        <w:tabs>
          <w:tab w:pos="2015" w:val="left" w:leader="none"/>
        </w:tabs>
        <w:spacing w:before="13"/>
        <w:ind w:left="330" w:right="0" w:firstLine="0"/>
        <w:jc w:val="left"/>
        <w:rPr>
          <w:b/>
          <w:sz w:val="21"/>
        </w:rPr>
      </w:pPr>
      <w:r>
        <w:rPr/>
        <w:br w:type="column"/>
      </w:r>
      <w:r>
        <w:rPr>
          <w:b/>
          <w:color w:val="111313"/>
          <w:spacing w:val="-2"/>
          <w:sz w:val="21"/>
        </w:rPr>
        <w:t>Composite</w:t>
      </w:r>
      <w:r>
        <w:rPr>
          <w:b/>
          <w:color w:val="111313"/>
          <w:sz w:val="21"/>
        </w:rPr>
        <w:tab/>
      </w:r>
      <w:r>
        <w:rPr>
          <w:b/>
          <w:color w:val="111313"/>
          <w:spacing w:val="-2"/>
          <w:sz w:val="21"/>
        </w:rPr>
        <w:t>Average</w:t>
      </w:r>
    </w:p>
    <w:p>
      <w:pPr>
        <w:tabs>
          <w:tab w:pos="1623" w:val="left" w:leader="none"/>
          <w:tab w:pos="1981" w:val="left" w:leader="none"/>
        </w:tabs>
        <w:spacing w:line="285" w:lineRule="auto" w:before="57"/>
        <w:ind w:left="489" w:right="468" w:hanging="145"/>
        <w:jc w:val="left"/>
        <w:rPr>
          <w:b/>
          <w:sz w:val="21"/>
        </w:rPr>
      </w:pPr>
      <w:r>
        <w:rPr>
          <w:b/>
          <w:color w:val="111313"/>
          <w:spacing w:val="-2"/>
          <w:sz w:val="21"/>
        </w:rPr>
        <w:t>Reliability</w:t>
      </w:r>
      <w:r>
        <w:rPr>
          <w:b/>
          <w:color w:val="111313"/>
          <w:sz w:val="21"/>
        </w:rPr>
        <w:tab/>
        <w:tab/>
      </w:r>
      <w:r>
        <w:rPr>
          <w:b/>
          <w:color w:val="111313"/>
          <w:spacing w:val="-2"/>
          <w:sz w:val="21"/>
        </w:rPr>
        <w:t>Variance (rho_c)</w:t>
      </w:r>
      <w:r>
        <w:rPr>
          <w:b/>
          <w:color w:val="111313"/>
          <w:sz w:val="21"/>
        </w:rPr>
        <w:tab/>
        <w:t>Extracted</w:t>
      </w:r>
      <w:r>
        <w:rPr>
          <w:b/>
          <w:color w:val="111313"/>
          <w:spacing w:val="-11"/>
          <w:sz w:val="21"/>
        </w:rPr>
        <w:t> </w:t>
      </w:r>
      <w:r>
        <w:rPr>
          <w:b/>
          <w:color w:val="111313"/>
          <w:sz w:val="21"/>
        </w:rPr>
        <w:t>(AVE)</w:t>
      </w:r>
    </w:p>
    <w:p>
      <w:pPr>
        <w:spacing w:after="0" w:line="285" w:lineRule="auto"/>
        <w:jc w:val="left"/>
        <w:rPr>
          <w:b/>
          <w:sz w:val="21"/>
        </w:rPr>
        <w:sectPr>
          <w:type w:val="continuous"/>
          <w:pgSz w:w="11520" w:h="15120"/>
          <w:pgMar w:top="1660" w:bottom="280" w:left="1440" w:right="1440"/>
          <w:pgBorders w:offsetFrom="page">
            <w:top w:val="single" w:color="D1D3D4" w:space="27" w:sz="2"/>
            <w:left w:val="single" w:color="D1D3D4" w:space="27" w:sz="2"/>
            <w:bottom w:val="single" w:color="D1D3D4" w:space="27" w:sz="2"/>
            <w:right w:val="single" w:color="D1D3D4" w:space="27" w:sz="2"/>
          </w:pgBorders>
          <w:cols w:num="3" w:equalWidth="0">
            <w:col w:w="2115" w:space="40"/>
            <w:col w:w="2817" w:space="39"/>
            <w:col w:w="3629"/>
          </w:cols>
        </w:sectPr>
      </w:pPr>
    </w:p>
    <w:p>
      <w:pPr>
        <w:pStyle w:val="BodyText"/>
        <w:spacing w:before="1"/>
        <w:rPr>
          <w:b/>
          <w:sz w:val="6"/>
        </w:rPr>
      </w:pPr>
    </w:p>
    <w:tbl>
      <w:tblPr>
        <w:tblW w:w="0" w:type="auto"/>
        <w:jc w:val="left"/>
        <w:tblInd w:w="336" w:type="dxa"/>
        <w:tblBorders>
          <w:top w:val="single" w:sz="8" w:space="0" w:color="99B94E"/>
          <w:left w:val="single" w:sz="8" w:space="0" w:color="99B94E"/>
          <w:bottom w:val="single" w:sz="8" w:space="0" w:color="99B94E"/>
          <w:right w:val="single" w:sz="8" w:space="0" w:color="99B94E"/>
          <w:insideH w:val="single" w:sz="8" w:space="0" w:color="99B94E"/>
          <w:insideV w:val="single" w:sz="8" w:space="0" w:color="99B94E"/>
        </w:tblBorders>
        <w:tblLayout w:type="fixed"/>
        <w:tblCellMar>
          <w:top w:w="0" w:type="dxa"/>
          <w:left w:w="0" w:type="dxa"/>
          <w:bottom w:w="0" w:type="dxa"/>
          <w:right w:w="0" w:type="dxa"/>
        </w:tblCellMar>
        <w:tblLook w:val="01E0"/>
      </w:tblPr>
      <w:tblGrid>
        <w:gridCol w:w="1096"/>
        <w:gridCol w:w="1081"/>
        <w:gridCol w:w="1327"/>
        <w:gridCol w:w="1312"/>
        <w:gridCol w:w="1346"/>
        <w:gridCol w:w="1800"/>
      </w:tblGrid>
      <w:tr>
        <w:trPr>
          <w:trHeight w:val="664" w:hRule="atLeast"/>
        </w:trPr>
        <w:tc>
          <w:tcPr>
            <w:tcW w:w="2177" w:type="dxa"/>
            <w:gridSpan w:val="2"/>
            <w:tcBorders>
              <w:left w:val="nil"/>
              <w:bottom w:val="single" w:sz="4" w:space="0" w:color="010202"/>
              <w:right w:val="single" w:sz="4" w:space="0" w:color="010202"/>
            </w:tcBorders>
            <w:shd w:val="clear" w:color="auto" w:fill="E5EDD4"/>
          </w:tcPr>
          <w:p>
            <w:pPr>
              <w:pStyle w:val="TableParagraph"/>
              <w:spacing w:before="18"/>
              <w:ind w:left="112"/>
              <w:rPr>
                <w:sz w:val="21"/>
              </w:rPr>
            </w:pPr>
            <w:r>
              <w:rPr>
                <w:b/>
                <w:color w:val="111313"/>
                <w:sz w:val="21"/>
              </w:rPr>
              <w:t>Training</w:t>
            </w:r>
            <w:r>
              <w:rPr>
                <w:b/>
                <w:color w:val="111313"/>
                <w:spacing w:val="13"/>
                <w:sz w:val="21"/>
              </w:rPr>
              <w:t> </w:t>
            </w:r>
            <w:r>
              <w:rPr>
                <w:color w:val="111313"/>
                <w:spacing w:val="-10"/>
                <w:sz w:val="21"/>
              </w:rPr>
              <w:t>&amp;</w:t>
            </w:r>
          </w:p>
          <w:p>
            <w:pPr>
              <w:pStyle w:val="TableParagraph"/>
              <w:spacing w:before="52"/>
              <w:ind w:left="112"/>
              <w:rPr>
                <w:b/>
                <w:sz w:val="21"/>
              </w:rPr>
            </w:pPr>
            <w:r>
              <w:rPr>
                <w:b/>
                <w:color w:val="111313"/>
                <w:sz w:val="21"/>
              </w:rPr>
              <w:t>Development</w:t>
            </w:r>
            <w:r>
              <w:rPr>
                <w:b/>
                <w:color w:val="111313"/>
                <w:spacing w:val="16"/>
                <w:sz w:val="21"/>
              </w:rPr>
              <w:t> </w:t>
            </w:r>
            <w:r>
              <w:rPr>
                <w:b/>
                <w:color w:val="111313"/>
                <w:spacing w:val="-4"/>
                <w:sz w:val="21"/>
              </w:rPr>
              <w:t>(TD)</w:t>
            </w:r>
          </w:p>
        </w:tc>
        <w:tc>
          <w:tcPr>
            <w:tcW w:w="1327" w:type="dxa"/>
            <w:tcBorders>
              <w:left w:val="single" w:sz="4" w:space="0" w:color="010202"/>
              <w:bottom w:val="single" w:sz="4" w:space="0" w:color="010202"/>
              <w:right w:val="nil"/>
            </w:tcBorders>
            <w:shd w:val="clear" w:color="auto" w:fill="E5EDD4"/>
          </w:tcPr>
          <w:p>
            <w:pPr>
              <w:pStyle w:val="TableParagraph"/>
              <w:spacing w:before="158"/>
              <w:ind w:left="17"/>
              <w:jc w:val="center"/>
              <w:rPr>
                <w:sz w:val="21"/>
              </w:rPr>
            </w:pPr>
            <w:r>
              <w:rPr>
                <w:color w:val="111313"/>
                <w:spacing w:val="-2"/>
                <w:sz w:val="21"/>
              </w:rPr>
              <w:t>0.824</w:t>
            </w:r>
          </w:p>
        </w:tc>
        <w:tc>
          <w:tcPr>
            <w:tcW w:w="1312" w:type="dxa"/>
            <w:tcBorders>
              <w:left w:val="nil"/>
              <w:bottom w:val="single" w:sz="4" w:space="0" w:color="010202"/>
              <w:right w:val="nil"/>
            </w:tcBorders>
            <w:shd w:val="clear" w:color="auto" w:fill="E5EDD4"/>
          </w:tcPr>
          <w:p>
            <w:pPr>
              <w:pStyle w:val="TableParagraph"/>
              <w:spacing w:before="158"/>
              <w:ind w:left="28"/>
              <w:jc w:val="center"/>
              <w:rPr>
                <w:sz w:val="21"/>
              </w:rPr>
            </w:pPr>
            <w:r>
              <w:rPr>
                <w:color w:val="111313"/>
                <w:spacing w:val="-2"/>
                <w:sz w:val="21"/>
              </w:rPr>
              <w:t>0.833</w:t>
            </w:r>
          </w:p>
        </w:tc>
        <w:tc>
          <w:tcPr>
            <w:tcW w:w="1346" w:type="dxa"/>
            <w:tcBorders>
              <w:left w:val="nil"/>
              <w:bottom w:val="single" w:sz="4" w:space="0" w:color="010202"/>
              <w:right w:val="nil"/>
            </w:tcBorders>
            <w:shd w:val="clear" w:color="auto" w:fill="E5EDD4"/>
          </w:tcPr>
          <w:p>
            <w:pPr>
              <w:pStyle w:val="TableParagraph"/>
              <w:spacing w:before="158"/>
              <w:ind w:left="29"/>
              <w:jc w:val="center"/>
              <w:rPr>
                <w:sz w:val="21"/>
              </w:rPr>
            </w:pPr>
            <w:r>
              <w:rPr>
                <w:color w:val="111313"/>
                <w:spacing w:val="-2"/>
                <w:sz w:val="21"/>
              </w:rPr>
              <w:t>0.884</w:t>
            </w:r>
          </w:p>
        </w:tc>
        <w:tc>
          <w:tcPr>
            <w:tcW w:w="1800" w:type="dxa"/>
            <w:tcBorders>
              <w:left w:val="nil"/>
              <w:bottom w:val="single" w:sz="4" w:space="0" w:color="010202"/>
              <w:right w:val="nil"/>
            </w:tcBorders>
            <w:shd w:val="clear" w:color="auto" w:fill="E5EDD4"/>
          </w:tcPr>
          <w:p>
            <w:pPr>
              <w:pStyle w:val="TableParagraph"/>
              <w:spacing w:before="158"/>
              <w:ind w:left="37"/>
              <w:jc w:val="center"/>
              <w:rPr>
                <w:sz w:val="21"/>
              </w:rPr>
            </w:pPr>
            <w:r>
              <w:rPr>
                <w:color w:val="111313"/>
                <w:spacing w:val="-2"/>
                <w:sz w:val="21"/>
              </w:rPr>
              <w:t>0.655</w:t>
            </w:r>
          </w:p>
        </w:tc>
      </w:tr>
      <w:tr>
        <w:trPr>
          <w:trHeight w:val="317" w:hRule="atLeast"/>
        </w:trPr>
        <w:tc>
          <w:tcPr>
            <w:tcW w:w="1096" w:type="dxa"/>
            <w:tcBorders>
              <w:top w:val="single" w:sz="4" w:space="0" w:color="010202"/>
              <w:left w:val="single" w:sz="4" w:space="0" w:color="000000"/>
              <w:bottom w:val="nil"/>
              <w:right w:val="nil"/>
            </w:tcBorders>
          </w:tcPr>
          <w:p>
            <w:pPr>
              <w:pStyle w:val="TableParagraph"/>
              <w:spacing w:before="12"/>
              <w:ind w:left="35" w:right="203"/>
              <w:jc w:val="center"/>
              <w:rPr>
                <w:sz w:val="21"/>
              </w:rPr>
            </w:pPr>
            <w:r>
              <w:rPr>
                <w:color w:val="111313"/>
                <w:w w:val="105"/>
                <w:sz w:val="21"/>
              </w:rPr>
              <w:t>TD</w:t>
            </w:r>
            <w:r>
              <w:rPr>
                <w:color w:val="111313"/>
                <w:spacing w:val="39"/>
                <w:w w:val="105"/>
                <w:sz w:val="21"/>
              </w:rPr>
              <w:t> </w:t>
            </w:r>
            <w:r>
              <w:rPr>
                <w:color w:val="111313"/>
                <w:spacing w:val="-10"/>
                <w:w w:val="105"/>
                <w:sz w:val="21"/>
              </w:rPr>
              <w:t>5</w:t>
            </w:r>
          </w:p>
        </w:tc>
        <w:tc>
          <w:tcPr>
            <w:tcW w:w="1081" w:type="dxa"/>
            <w:tcBorders>
              <w:top w:val="single" w:sz="4" w:space="0" w:color="010202"/>
              <w:left w:val="nil"/>
              <w:bottom w:val="nil"/>
              <w:right w:val="single" w:sz="2" w:space="0" w:color="000000"/>
            </w:tcBorders>
          </w:tcPr>
          <w:p>
            <w:pPr>
              <w:pStyle w:val="TableParagraph"/>
              <w:spacing w:before="12"/>
              <w:ind w:left="5" w:right="26"/>
              <w:jc w:val="center"/>
              <w:rPr>
                <w:sz w:val="21"/>
              </w:rPr>
            </w:pPr>
            <w:r>
              <w:rPr>
                <w:color w:val="111313"/>
                <w:spacing w:val="-2"/>
                <w:sz w:val="21"/>
              </w:rPr>
              <w:t>0.828</w:t>
            </w:r>
          </w:p>
        </w:tc>
        <w:tc>
          <w:tcPr>
            <w:tcW w:w="1327" w:type="dxa"/>
            <w:vMerge w:val="restart"/>
            <w:tcBorders>
              <w:top w:val="single" w:sz="4" w:space="0" w:color="010202"/>
              <w:left w:val="single" w:sz="2" w:space="0" w:color="000000"/>
              <w:bottom w:val="single" w:sz="4" w:space="0" w:color="010202"/>
              <w:right w:val="single" w:sz="2" w:space="0" w:color="000000"/>
            </w:tcBorders>
          </w:tcPr>
          <w:p>
            <w:pPr>
              <w:pStyle w:val="TableParagraph"/>
              <w:rPr>
                <w:sz w:val="20"/>
              </w:rPr>
            </w:pPr>
          </w:p>
        </w:tc>
        <w:tc>
          <w:tcPr>
            <w:tcW w:w="1312" w:type="dxa"/>
            <w:vMerge w:val="restart"/>
            <w:tcBorders>
              <w:top w:val="single" w:sz="4" w:space="0" w:color="010202"/>
              <w:left w:val="single" w:sz="2" w:space="0" w:color="000000"/>
              <w:bottom w:val="single" w:sz="4" w:space="0" w:color="010202"/>
              <w:right w:val="single" w:sz="2" w:space="0" w:color="000000"/>
            </w:tcBorders>
          </w:tcPr>
          <w:p>
            <w:pPr>
              <w:pStyle w:val="TableParagraph"/>
              <w:rPr>
                <w:sz w:val="20"/>
              </w:rPr>
            </w:pPr>
          </w:p>
        </w:tc>
        <w:tc>
          <w:tcPr>
            <w:tcW w:w="1346" w:type="dxa"/>
            <w:vMerge w:val="restart"/>
            <w:tcBorders>
              <w:top w:val="single" w:sz="4" w:space="0" w:color="010202"/>
              <w:left w:val="single" w:sz="2" w:space="0" w:color="000000"/>
              <w:bottom w:val="single" w:sz="4" w:space="0" w:color="010202"/>
              <w:right w:val="single" w:sz="2" w:space="0" w:color="000000"/>
            </w:tcBorders>
          </w:tcPr>
          <w:p>
            <w:pPr>
              <w:pStyle w:val="TableParagraph"/>
              <w:rPr>
                <w:sz w:val="20"/>
              </w:rPr>
            </w:pPr>
          </w:p>
        </w:tc>
        <w:tc>
          <w:tcPr>
            <w:tcW w:w="1800" w:type="dxa"/>
            <w:vMerge w:val="restart"/>
            <w:tcBorders>
              <w:top w:val="single" w:sz="4" w:space="0" w:color="010202"/>
              <w:left w:val="single" w:sz="2" w:space="0" w:color="000000"/>
              <w:bottom w:val="single" w:sz="4" w:space="0" w:color="010202"/>
              <w:right w:val="single" w:sz="4" w:space="0" w:color="010202"/>
            </w:tcBorders>
          </w:tcPr>
          <w:p>
            <w:pPr>
              <w:pStyle w:val="TableParagraph"/>
              <w:rPr>
                <w:sz w:val="20"/>
              </w:rPr>
            </w:pPr>
          </w:p>
        </w:tc>
      </w:tr>
      <w:tr>
        <w:trPr>
          <w:trHeight w:val="360" w:hRule="atLeast"/>
        </w:trPr>
        <w:tc>
          <w:tcPr>
            <w:tcW w:w="1096" w:type="dxa"/>
            <w:tcBorders>
              <w:top w:val="nil"/>
              <w:left w:val="single" w:sz="4" w:space="0" w:color="000000"/>
              <w:bottom w:val="nil"/>
              <w:right w:val="nil"/>
            </w:tcBorders>
          </w:tcPr>
          <w:p>
            <w:pPr>
              <w:pStyle w:val="TableParagraph"/>
              <w:spacing w:before="55"/>
              <w:ind w:left="33" w:right="203"/>
              <w:jc w:val="center"/>
              <w:rPr>
                <w:sz w:val="21"/>
              </w:rPr>
            </w:pPr>
            <w:r>
              <w:rPr>
                <w:color w:val="111313"/>
                <w:sz w:val="21"/>
              </w:rPr>
              <w:t>TD</w:t>
            </w:r>
            <w:r>
              <w:rPr>
                <w:color w:val="111313"/>
                <w:spacing w:val="56"/>
                <w:sz w:val="21"/>
              </w:rPr>
              <w:t> </w:t>
            </w:r>
            <w:r>
              <w:rPr>
                <w:color w:val="111313"/>
                <w:spacing w:val="-10"/>
                <w:sz w:val="21"/>
              </w:rPr>
              <w:t>6</w:t>
            </w:r>
          </w:p>
        </w:tc>
        <w:tc>
          <w:tcPr>
            <w:tcW w:w="1081" w:type="dxa"/>
            <w:tcBorders>
              <w:top w:val="nil"/>
              <w:left w:val="nil"/>
              <w:bottom w:val="nil"/>
              <w:right w:val="single" w:sz="2" w:space="0" w:color="000000"/>
            </w:tcBorders>
          </w:tcPr>
          <w:p>
            <w:pPr>
              <w:pStyle w:val="TableParagraph"/>
              <w:spacing w:before="55"/>
              <w:ind w:left="5" w:right="26"/>
              <w:jc w:val="center"/>
              <w:rPr>
                <w:sz w:val="21"/>
              </w:rPr>
            </w:pPr>
            <w:r>
              <w:rPr>
                <w:color w:val="111313"/>
                <w:spacing w:val="-2"/>
                <w:sz w:val="21"/>
              </w:rPr>
              <w:t>0.757</w:t>
            </w:r>
          </w:p>
        </w:tc>
        <w:tc>
          <w:tcPr>
            <w:tcW w:w="1327" w:type="dxa"/>
            <w:vMerge/>
            <w:tcBorders>
              <w:top w:val="nil"/>
              <w:left w:val="single" w:sz="2" w:space="0" w:color="000000"/>
              <w:bottom w:val="single" w:sz="4" w:space="0" w:color="010202"/>
              <w:right w:val="single" w:sz="2" w:space="0" w:color="000000"/>
            </w:tcBorders>
          </w:tcPr>
          <w:p>
            <w:pPr>
              <w:rPr>
                <w:sz w:val="2"/>
                <w:szCs w:val="2"/>
              </w:rPr>
            </w:pPr>
          </w:p>
        </w:tc>
        <w:tc>
          <w:tcPr>
            <w:tcW w:w="1312" w:type="dxa"/>
            <w:vMerge/>
            <w:tcBorders>
              <w:top w:val="nil"/>
              <w:left w:val="single" w:sz="2" w:space="0" w:color="000000"/>
              <w:bottom w:val="single" w:sz="4" w:space="0" w:color="010202"/>
              <w:right w:val="single" w:sz="2" w:space="0" w:color="000000"/>
            </w:tcBorders>
          </w:tcPr>
          <w:p>
            <w:pPr>
              <w:rPr>
                <w:sz w:val="2"/>
                <w:szCs w:val="2"/>
              </w:rPr>
            </w:pPr>
          </w:p>
        </w:tc>
        <w:tc>
          <w:tcPr>
            <w:tcW w:w="1346" w:type="dxa"/>
            <w:vMerge/>
            <w:tcBorders>
              <w:top w:val="nil"/>
              <w:left w:val="single" w:sz="2" w:space="0" w:color="000000"/>
              <w:bottom w:val="single" w:sz="4" w:space="0" w:color="010202"/>
              <w:right w:val="single" w:sz="2" w:space="0" w:color="000000"/>
            </w:tcBorders>
          </w:tcPr>
          <w:p>
            <w:pPr>
              <w:rPr>
                <w:sz w:val="2"/>
                <w:szCs w:val="2"/>
              </w:rPr>
            </w:pPr>
          </w:p>
        </w:tc>
        <w:tc>
          <w:tcPr>
            <w:tcW w:w="1800" w:type="dxa"/>
            <w:vMerge/>
            <w:tcBorders>
              <w:top w:val="nil"/>
              <w:left w:val="single" w:sz="2" w:space="0" w:color="000000"/>
              <w:bottom w:val="single" w:sz="4" w:space="0" w:color="010202"/>
              <w:right w:val="single" w:sz="4" w:space="0" w:color="010202"/>
            </w:tcBorders>
          </w:tcPr>
          <w:p>
            <w:pPr>
              <w:rPr>
                <w:sz w:val="2"/>
                <w:szCs w:val="2"/>
              </w:rPr>
            </w:pPr>
          </w:p>
        </w:tc>
      </w:tr>
      <w:tr>
        <w:trPr>
          <w:trHeight w:val="360" w:hRule="atLeast"/>
        </w:trPr>
        <w:tc>
          <w:tcPr>
            <w:tcW w:w="1096" w:type="dxa"/>
            <w:tcBorders>
              <w:top w:val="nil"/>
              <w:left w:val="single" w:sz="4" w:space="0" w:color="000000"/>
              <w:bottom w:val="nil"/>
              <w:right w:val="nil"/>
            </w:tcBorders>
          </w:tcPr>
          <w:p>
            <w:pPr>
              <w:pStyle w:val="TableParagraph"/>
              <w:spacing w:before="55"/>
              <w:ind w:left="34" w:right="203"/>
              <w:jc w:val="center"/>
              <w:rPr>
                <w:sz w:val="21"/>
              </w:rPr>
            </w:pPr>
            <w:r>
              <w:rPr>
                <w:color w:val="111313"/>
                <w:sz w:val="21"/>
              </w:rPr>
              <w:t>TD</w:t>
            </w:r>
            <w:r>
              <w:rPr>
                <w:color w:val="111313"/>
                <w:spacing w:val="56"/>
                <w:sz w:val="21"/>
              </w:rPr>
              <w:t> </w:t>
            </w:r>
            <w:r>
              <w:rPr>
                <w:color w:val="111313"/>
                <w:spacing w:val="-10"/>
                <w:sz w:val="21"/>
              </w:rPr>
              <w:t>9</w:t>
            </w:r>
          </w:p>
        </w:tc>
        <w:tc>
          <w:tcPr>
            <w:tcW w:w="1081" w:type="dxa"/>
            <w:tcBorders>
              <w:top w:val="nil"/>
              <w:left w:val="nil"/>
              <w:bottom w:val="nil"/>
              <w:right w:val="single" w:sz="2" w:space="0" w:color="000000"/>
            </w:tcBorders>
          </w:tcPr>
          <w:p>
            <w:pPr>
              <w:pStyle w:val="TableParagraph"/>
              <w:spacing w:before="55"/>
              <w:ind w:left="5" w:right="26"/>
              <w:jc w:val="center"/>
              <w:rPr>
                <w:sz w:val="21"/>
              </w:rPr>
            </w:pPr>
            <w:r>
              <w:rPr>
                <w:color w:val="111313"/>
                <w:spacing w:val="-2"/>
                <w:sz w:val="21"/>
              </w:rPr>
              <w:t>0.799</w:t>
            </w:r>
          </w:p>
        </w:tc>
        <w:tc>
          <w:tcPr>
            <w:tcW w:w="1327" w:type="dxa"/>
            <w:vMerge/>
            <w:tcBorders>
              <w:top w:val="nil"/>
              <w:left w:val="single" w:sz="2" w:space="0" w:color="000000"/>
              <w:bottom w:val="single" w:sz="4" w:space="0" w:color="010202"/>
              <w:right w:val="single" w:sz="2" w:space="0" w:color="000000"/>
            </w:tcBorders>
          </w:tcPr>
          <w:p>
            <w:pPr>
              <w:rPr>
                <w:sz w:val="2"/>
                <w:szCs w:val="2"/>
              </w:rPr>
            </w:pPr>
          </w:p>
        </w:tc>
        <w:tc>
          <w:tcPr>
            <w:tcW w:w="1312" w:type="dxa"/>
            <w:vMerge/>
            <w:tcBorders>
              <w:top w:val="nil"/>
              <w:left w:val="single" w:sz="2" w:space="0" w:color="000000"/>
              <w:bottom w:val="single" w:sz="4" w:space="0" w:color="010202"/>
              <w:right w:val="single" w:sz="2" w:space="0" w:color="000000"/>
            </w:tcBorders>
          </w:tcPr>
          <w:p>
            <w:pPr>
              <w:rPr>
                <w:sz w:val="2"/>
                <w:szCs w:val="2"/>
              </w:rPr>
            </w:pPr>
          </w:p>
        </w:tc>
        <w:tc>
          <w:tcPr>
            <w:tcW w:w="1346" w:type="dxa"/>
            <w:vMerge/>
            <w:tcBorders>
              <w:top w:val="nil"/>
              <w:left w:val="single" w:sz="2" w:space="0" w:color="000000"/>
              <w:bottom w:val="single" w:sz="4" w:space="0" w:color="010202"/>
              <w:right w:val="single" w:sz="2" w:space="0" w:color="000000"/>
            </w:tcBorders>
          </w:tcPr>
          <w:p>
            <w:pPr>
              <w:rPr>
                <w:sz w:val="2"/>
                <w:szCs w:val="2"/>
              </w:rPr>
            </w:pPr>
          </w:p>
        </w:tc>
        <w:tc>
          <w:tcPr>
            <w:tcW w:w="1800" w:type="dxa"/>
            <w:vMerge/>
            <w:tcBorders>
              <w:top w:val="nil"/>
              <w:left w:val="single" w:sz="2" w:space="0" w:color="000000"/>
              <w:bottom w:val="single" w:sz="4" w:space="0" w:color="010202"/>
              <w:right w:val="single" w:sz="4" w:space="0" w:color="010202"/>
            </w:tcBorders>
          </w:tcPr>
          <w:p>
            <w:pPr>
              <w:rPr>
                <w:sz w:val="2"/>
                <w:szCs w:val="2"/>
              </w:rPr>
            </w:pPr>
          </w:p>
        </w:tc>
      </w:tr>
      <w:tr>
        <w:trPr>
          <w:trHeight w:val="411" w:hRule="atLeast"/>
        </w:trPr>
        <w:tc>
          <w:tcPr>
            <w:tcW w:w="1096" w:type="dxa"/>
            <w:tcBorders>
              <w:top w:val="nil"/>
              <w:left w:val="single" w:sz="4" w:space="0" w:color="000000"/>
              <w:bottom w:val="single" w:sz="4" w:space="0" w:color="010202"/>
              <w:right w:val="nil"/>
            </w:tcBorders>
          </w:tcPr>
          <w:p>
            <w:pPr>
              <w:pStyle w:val="TableParagraph"/>
              <w:spacing w:before="55"/>
              <w:ind w:left="140" w:right="203"/>
              <w:jc w:val="center"/>
              <w:rPr>
                <w:sz w:val="21"/>
              </w:rPr>
            </w:pPr>
            <w:r>
              <w:rPr>
                <w:color w:val="111313"/>
                <w:sz w:val="21"/>
              </w:rPr>
              <w:t>TD</w:t>
            </w:r>
            <w:r>
              <w:rPr>
                <w:color w:val="111313"/>
                <w:spacing w:val="60"/>
                <w:sz w:val="21"/>
              </w:rPr>
              <w:t> </w:t>
            </w:r>
            <w:r>
              <w:rPr>
                <w:color w:val="111313"/>
                <w:spacing w:val="-5"/>
                <w:sz w:val="21"/>
              </w:rPr>
              <w:t>10</w:t>
            </w:r>
          </w:p>
        </w:tc>
        <w:tc>
          <w:tcPr>
            <w:tcW w:w="1081" w:type="dxa"/>
            <w:tcBorders>
              <w:top w:val="nil"/>
              <w:left w:val="nil"/>
              <w:bottom w:val="single" w:sz="4" w:space="0" w:color="010202"/>
              <w:right w:val="single" w:sz="2" w:space="0" w:color="000000"/>
            </w:tcBorders>
          </w:tcPr>
          <w:p>
            <w:pPr>
              <w:pStyle w:val="TableParagraph"/>
              <w:spacing w:before="55"/>
              <w:ind w:right="26"/>
              <w:jc w:val="center"/>
              <w:rPr>
                <w:sz w:val="21"/>
              </w:rPr>
            </w:pPr>
            <w:r>
              <w:rPr>
                <w:color w:val="111313"/>
                <w:spacing w:val="-2"/>
                <w:sz w:val="21"/>
              </w:rPr>
              <w:t>0.851</w:t>
            </w:r>
          </w:p>
        </w:tc>
        <w:tc>
          <w:tcPr>
            <w:tcW w:w="1327" w:type="dxa"/>
            <w:vMerge/>
            <w:tcBorders>
              <w:top w:val="nil"/>
              <w:left w:val="single" w:sz="2" w:space="0" w:color="000000"/>
              <w:bottom w:val="single" w:sz="4" w:space="0" w:color="010202"/>
              <w:right w:val="single" w:sz="2" w:space="0" w:color="000000"/>
            </w:tcBorders>
          </w:tcPr>
          <w:p>
            <w:pPr>
              <w:rPr>
                <w:sz w:val="2"/>
                <w:szCs w:val="2"/>
              </w:rPr>
            </w:pPr>
          </w:p>
        </w:tc>
        <w:tc>
          <w:tcPr>
            <w:tcW w:w="1312" w:type="dxa"/>
            <w:vMerge/>
            <w:tcBorders>
              <w:top w:val="nil"/>
              <w:left w:val="single" w:sz="2" w:space="0" w:color="000000"/>
              <w:bottom w:val="single" w:sz="4" w:space="0" w:color="010202"/>
              <w:right w:val="single" w:sz="2" w:space="0" w:color="000000"/>
            </w:tcBorders>
          </w:tcPr>
          <w:p>
            <w:pPr>
              <w:rPr>
                <w:sz w:val="2"/>
                <w:szCs w:val="2"/>
              </w:rPr>
            </w:pPr>
          </w:p>
        </w:tc>
        <w:tc>
          <w:tcPr>
            <w:tcW w:w="1346" w:type="dxa"/>
            <w:vMerge/>
            <w:tcBorders>
              <w:top w:val="nil"/>
              <w:left w:val="single" w:sz="2" w:space="0" w:color="000000"/>
              <w:bottom w:val="single" w:sz="4" w:space="0" w:color="010202"/>
              <w:right w:val="single" w:sz="2" w:space="0" w:color="000000"/>
            </w:tcBorders>
          </w:tcPr>
          <w:p>
            <w:pPr>
              <w:rPr>
                <w:sz w:val="2"/>
                <w:szCs w:val="2"/>
              </w:rPr>
            </w:pPr>
          </w:p>
        </w:tc>
        <w:tc>
          <w:tcPr>
            <w:tcW w:w="1800" w:type="dxa"/>
            <w:vMerge/>
            <w:tcBorders>
              <w:top w:val="nil"/>
              <w:left w:val="single" w:sz="2" w:space="0" w:color="000000"/>
              <w:bottom w:val="single" w:sz="4" w:space="0" w:color="010202"/>
              <w:right w:val="single" w:sz="4" w:space="0" w:color="010202"/>
            </w:tcBorders>
          </w:tcPr>
          <w:p>
            <w:pPr>
              <w:rPr>
                <w:sz w:val="2"/>
                <w:szCs w:val="2"/>
              </w:rPr>
            </w:pPr>
          </w:p>
        </w:tc>
      </w:tr>
      <w:tr>
        <w:trPr>
          <w:trHeight w:val="664" w:hRule="atLeast"/>
        </w:trPr>
        <w:tc>
          <w:tcPr>
            <w:tcW w:w="2177" w:type="dxa"/>
            <w:gridSpan w:val="2"/>
            <w:tcBorders>
              <w:top w:val="single" w:sz="4" w:space="0" w:color="010202"/>
              <w:left w:val="nil"/>
              <w:bottom w:val="single" w:sz="4" w:space="0" w:color="010202"/>
              <w:right w:val="single" w:sz="2" w:space="0" w:color="000000"/>
            </w:tcBorders>
            <w:shd w:val="clear" w:color="auto" w:fill="E5EDD4"/>
          </w:tcPr>
          <w:p>
            <w:pPr>
              <w:pStyle w:val="TableParagraph"/>
              <w:spacing w:line="290" w:lineRule="auto" w:before="22"/>
              <w:ind w:left="110" w:right="460" w:firstLine="1"/>
              <w:rPr>
                <w:b/>
                <w:sz w:val="21"/>
              </w:rPr>
            </w:pPr>
            <w:r>
              <w:rPr>
                <w:b/>
                <w:color w:val="111313"/>
                <w:spacing w:val="-2"/>
                <w:sz w:val="21"/>
              </w:rPr>
              <w:t>Employee </w:t>
            </w:r>
            <w:r>
              <w:rPr>
                <w:b/>
                <w:color w:val="111313"/>
                <w:sz w:val="21"/>
              </w:rPr>
              <w:t>Productivity</w:t>
            </w:r>
            <w:r>
              <w:rPr>
                <w:b/>
                <w:color w:val="111313"/>
                <w:spacing w:val="-3"/>
                <w:sz w:val="21"/>
              </w:rPr>
              <w:t> </w:t>
            </w:r>
            <w:r>
              <w:rPr>
                <w:b/>
                <w:color w:val="111313"/>
                <w:sz w:val="21"/>
              </w:rPr>
              <w:t>(EP)</w:t>
            </w:r>
          </w:p>
        </w:tc>
        <w:tc>
          <w:tcPr>
            <w:tcW w:w="1327" w:type="dxa"/>
            <w:tcBorders>
              <w:top w:val="single" w:sz="4" w:space="0" w:color="010202"/>
              <w:left w:val="single" w:sz="2" w:space="0" w:color="000000"/>
              <w:bottom w:val="single" w:sz="4" w:space="0" w:color="010202"/>
              <w:right w:val="nil"/>
            </w:tcBorders>
            <w:shd w:val="clear" w:color="auto" w:fill="E5EDD4"/>
          </w:tcPr>
          <w:p>
            <w:pPr>
              <w:pStyle w:val="TableParagraph"/>
              <w:spacing w:before="157"/>
              <w:ind w:left="15"/>
              <w:jc w:val="center"/>
              <w:rPr>
                <w:sz w:val="21"/>
              </w:rPr>
            </w:pPr>
            <w:r>
              <w:rPr>
                <w:color w:val="111313"/>
                <w:spacing w:val="-2"/>
                <w:sz w:val="21"/>
              </w:rPr>
              <w:t>0.842</w:t>
            </w:r>
          </w:p>
        </w:tc>
        <w:tc>
          <w:tcPr>
            <w:tcW w:w="1312" w:type="dxa"/>
            <w:tcBorders>
              <w:top w:val="single" w:sz="4" w:space="0" w:color="010202"/>
              <w:left w:val="nil"/>
              <w:bottom w:val="single" w:sz="4" w:space="0" w:color="010202"/>
              <w:right w:val="nil"/>
            </w:tcBorders>
            <w:shd w:val="clear" w:color="auto" w:fill="E5EDD4"/>
          </w:tcPr>
          <w:p>
            <w:pPr>
              <w:pStyle w:val="TableParagraph"/>
              <w:spacing w:before="161"/>
              <w:ind w:left="28"/>
              <w:jc w:val="center"/>
              <w:rPr>
                <w:sz w:val="21"/>
              </w:rPr>
            </w:pPr>
            <w:r>
              <w:rPr>
                <w:color w:val="111313"/>
                <w:spacing w:val="-2"/>
                <w:sz w:val="21"/>
              </w:rPr>
              <w:t>0.850</w:t>
            </w:r>
          </w:p>
        </w:tc>
        <w:tc>
          <w:tcPr>
            <w:tcW w:w="1346" w:type="dxa"/>
            <w:tcBorders>
              <w:top w:val="single" w:sz="4" w:space="0" w:color="010202"/>
              <w:left w:val="nil"/>
              <w:bottom w:val="single" w:sz="4" w:space="0" w:color="010202"/>
              <w:right w:val="nil"/>
            </w:tcBorders>
            <w:shd w:val="clear" w:color="auto" w:fill="E5EDD4"/>
          </w:tcPr>
          <w:p>
            <w:pPr>
              <w:pStyle w:val="TableParagraph"/>
              <w:spacing w:before="161"/>
              <w:ind w:left="29"/>
              <w:jc w:val="center"/>
              <w:rPr>
                <w:sz w:val="21"/>
              </w:rPr>
            </w:pPr>
            <w:r>
              <w:rPr>
                <w:color w:val="111313"/>
                <w:spacing w:val="-2"/>
                <w:sz w:val="21"/>
              </w:rPr>
              <w:t>0.887</w:t>
            </w:r>
          </w:p>
        </w:tc>
        <w:tc>
          <w:tcPr>
            <w:tcW w:w="1800" w:type="dxa"/>
            <w:tcBorders>
              <w:top w:val="single" w:sz="4" w:space="0" w:color="010202"/>
              <w:left w:val="nil"/>
              <w:bottom w:val="single" w:sz="4" w:space="0" w:color="010202"/>
              <w:right w:val="nil"/>
            </w:tcBorders>
            <w:shd w:val="clear" w:color="auto" w:fill="E5EDD4"/>
          </w:tcPr>
          <w:p>
            <w:pPr>
              <w:pStyle w:val="TableParagraph"/>
              <w:spacing w:before="161"/>
              <w:ind w:left="37"/>
              <w:jc w:val="center"/>
              <w:rPr>
                <w:sz w:val="21"/>
              </w:rPr>
            </w:pPr>
            <w:r>
              <w:rPr>
                <w:color w:val="111313"/>
                <w:spacing w:val="-2"/>
                <w:sz w:val="21"/>
              </w:rPr>
              <w:t>0.612</w:t>
            </w:r>
          </w:p>
        </w:tc>
      </w:tr>
      <w:tr>
        <w:trPr>
          <w:trHeight w:val="268" w:hRule="atLeast"/>
        </w:trPr>
        <w:tc>
          <w:tcPr>
            <w:tcW w:w="1096" w:type="dxa"/>
            <w:tcBorders>
              <w:top w:val="single" w:sz="4" w:space="0" w:color="010202"/>
              <w:left w:val="single" w:sz="4" w:space="0" w:color="000000"/>
              <w:bottom w:val="nil"/>
              <w:right w:val="nil"/>
            </w:tcBorders>
          </w:tcPr>
          <w:p>
            <w:pPr>
              <w:pStyle w:val="TableParagraph"/>
              <w:spacing w:before="2"/>
              <w:ind w:right="203"/>
              <w:jc w:val="center"/>
              <w:rPr>
                <w:sz w:val="21"/>
              </w:rPr>
            </w:pPr>
            <w:r>
              <w:rPr>
                <w:color w:val="111313"/>
                <w:sz w:val="21"/>
              </w:rPr>
              <w:t>EP</w:t>
            </w:r>
            <w:r>
              <w:rPr>
                <w:color w:val="111313"/>
                <w:spacing w:val="54"/>
                <w:sz w:val="21"/>
              </w:rPr>
              <w:t> </w:t>
            </w:r>
            <w:r>
              <w:rPr>
                <w:color w:val="111313"/>
                <w:spacing w:val="-10"/>
                <w:sz w:val="21"/>
              </w:rPr>
              <w:t>1</w:t>
            </w:r>
          </w:p>
        </w:tc>
        <w:tc>
          <w:tcPr>
            <w:tcW w:w="1081" w:type="dxa"/>
            <w:tcBorders>
              <w:top w:val="single" w:sz="4" w:space="0" w:color="010202"/>
              <w:left w:val="nil"/>
              <w:bottom w:val="nil"/>
              <w:right w:val="single" w:sz="2" w:space="0" w:color="000000"/>
            </w:tcBorders>
          </w:tcPr>
          <w:p>
            <w:pPr>
              <w:pStyle w:val="TableParagraph"/>
              <w:spacing w:before="2"/>
              <w:ind w:right="26"/>
              <w:jc w:val="center"/>
              <w:rPr>
                <w:sz w:val="21"/>
              </w:rPr>
            </w:pPr>
            <w:r>
              <w:rPr>
                <w:color w:val="111313"/>
                <w:spacing w:val="-2"/>
                <w:sz w:val="21"/>
              </w:rPr>
              <w:t>0.815</w:t>
            </w:r>
          </w:p>
        </w:tc>
        <w:tc>
          <w:tcPr>
            <w:tcW w:w="1327" w:type="dxa"/>
            <w:vMerge w:val="restart"/>
            <w:tcBorders>
              <w:top w:val="single" w:sz="4" w:space="0" w:color="010202"/>
              <w:left w:val="single" w:sz="2" w:space="0" w:color="000000"/>
              <w:bottom w:val="single" w:sz="4" w:space="0" w:color="010202"/>
              <w:right w:val="single" w:sz="4" w:space="0" w:color="000000"/>
            </w:tcBorders>
          </w:tcPr>
          <w:p>
            <w:pPr>
              <w:pStyle w:val="TableParagraph"/>
              <w:rPr>
                <w:sz w:val="20"/>
              </w:rPr>
            </w:pPr>
          </w:p>
        </w:tc>
        <w:tc>
          <w:tcPr>
            <w:tcW w:w="1312" w:type="dxa"/>
            <w:vMerge w:val="restart"/>
            <w:tcBorders>
              <w:top w:val="single" w:sz="4" w:space="0" w:color="010202"/>
              <w:left w:val="single" w:sz="4" w:space="0" w:color="000000"/>
              <w:bottom w:val="single" w:sz="4" w:space="0" w:color="010202"/>
              <w:right w:val="single" w:sz="4" w:space="0" w:color="000000"/>
            </w:tcBorders>
          </w:tcPr>
          <w:p>
            <w:pPr>
              <w:pStyle w:val="TableParagraph"/>
              <w:rPr>
                <w:sz w:val="20"/>
              </w:rPr>
            </w:pPr>
          </w:p>
        </w:tc>
        <w:tc>
          <w:tcPr>
            <w:tcW w:w="1346" w:type="dxa"/>
            <w:vMerge w:val="restart"/>
            <w:tcBorders>
              <w:top w:val="single" w:sz="4" w:space="0" w:color="010202"/>
              <w:left w:val="single" w:sz="4" w:space="0" w:color="000000"/>
              <w:bottom w:val="single" w:sz="4" w:space="0" w:color="010202"/>
              <w:right w:val="single" w:sz="2" w:space="0" w:color="000000"/>
            </w:tcBorders>
          </w:tcPr>
          <w:p>
            <w:pPr>
              <w:pStyle w:val="TableParagraph"/>
              <w:rPr>
                <w:sz w:val="20"/>
              </w:rPr>
            </w:pPr>
          </w:p>
        </w:tc>
        <w:tc>
          <w:tcPr>
            <w:tcW w:w="1800" w:type="dxa"/>
            <w:vMerge w:val="restart"/>
            <w:tcBorders>
              <w:top w:val="single" w:sz="4" w:space="0" w:color="010202"/>
              <w:left w:val="single" w:sz="2" w:space="0" w:color="000000"/>
              <w:bottom w:val="single" w:sz="4" w:space="0" w:color="010202"/>
              <w:right w:val="single" w:sz="4" w:space="0" w:color="010202"/>
            </w:tcBorders>
          </w:tcPr>
          <w:p>
            <w:pPr>
              <w:pStyle w:val="TableParagraph"/>
              <w:rPr>
                <w:sz w:val="20"/>
              </w:rPr>
            </w:pPr>
          </w:p>
        </w:tc>
      </w:tr>
      <w:tr>
        <w:trPr>
          <w:trHeight w:val="280" w:hRule="atLeast"/>
        </w:trPr>
        <w:tc>
          <w:tcPr>
            <w:tcW w:w="1096" w:type="dxa"/>
            <w:tcBorders>
              <w:top w:val="nil"/>
              <w:left w:val="single" w:sz="4" w:space="0" w:color="000000"/>
              <w:bottom w:val="nil"/>
              <w:right w:val="nil"/>
            </w:tcBorders>
          </w:tcPr>
          <w:p>
            <w:pPr>
              <w:pStyle w:val="TableParagraph"/>
              <w:spacing w:before="16"/>
              <w:ind w:left="3" w:right="203"/>
              <w:jc w:val="center"/>
              <w:rPr>
                <w:sz w:val="21"/>
              </w:rPr>
            </w:pPr>
            <w:r>
              <w:rPr>
                <w:color w:val="111313"/>
                <w:sz w:val="21"/>
              </w:rPr>
              <w:t>EP</w:t>
            </w:r>
            <w:r>
              <w:rPr>
                <w:color w:val="111313"/>
                <w:spacing w:val="55"/>
                <w:sz w:val="21"/>
              </w:rPr>
              <w:t> </w:t>
            </w:r>
            <w:r>
              <w:rPr>
                <w:color w:val="111313"/>
                <w:spacing w:val="-10"/>
                <w:sz w:val="21"/>
              </w:rPr>
              <w:t>2</w:t>
            </w:r>
          </w:p>
        </w:tc>
        <w:tc>
          <w:tcPr>
            <w:tcW w:w="1081" w:type="dxa"/>
            <w:tcBorders>
              <w:top w:val="nil"/>
              <w:left w:val="nil"/>
              <w:bottom w:val="nil"/>
              <w:right w:val="single" w:sz="2" w:space="0" w:color="000000"/>
            </w:tcBorders>
          </w:tcPr>
          <w:p>
            <w:pPr>
              <w:pStyle w:val="TableParagraph"/>
              <w:spacing w:before="16"/>
              <w:ind w:right="26"/>
              <w:jc w:val="center"/>
              <w:rPr>
                <w:sz w:val="21"/>
              </w:rPr>
            </w:pPr>
            <w:r>
              <w:rPr>
                <w:color w:val="111313"/>
                <w:spacing w:val="-2"/>
                <w:sz w:val="21"/>
              </w:rPr>
              <w:t>0.817</w:t>
            </w:r>
          </w:p>
        </w:tc>
        <w:tc>
          <w:tcPr>
            <w:tcW w:w="1327" w:type="dxa"/>
            <w:vMerge/>
            <w:tcBorders>
              <w:top w:val="nil"/>
              <w:left w:val="single" w:sz="2" w:space="0" w:color="000000"/>
              <w:bottom w:val="single" w:sz="4" w:space="0" w:color="010202"/>
              <w:right w:val="single" w:sz="4" w:space="0" w:color="000000"/>
            </w:tcBorders>
          </w:tcPr>
          <w:p>
            <w:pPr>
              <w:rPr>
                <w:sz w:val="2"/>
                <w:szCs w:val="2"/>
              </w:rPr>
            </w:pPr>
          </w:p>
        </w:tc>
        <w:tc>
          <w:tcPr>
            <w:tcW w:w="1312" w:type="dxa"/>
            <w:vMerge/>
            <w:tcBorders>
              <w:top w:val="nil"/>
              <w:left w:val="single" w:sz="4" w:space="0" w:color="000000"/>
              <w:bottom w:val="single" w:sz="4" w:space="0" w:color="010202"/>
              <w:right w:val="single" w:sz="4" w:space="0" w:color="000000"/>
            </w:tcBorders>
          </w:tcPr>
          <w:p>
            <w:pPr>
              <w:rPr>
                <w:sz w:val="2"/>
                <w:szCs w:val="2"/>
              </w:rPr>
            </w:pPr>
          </w:p>
        </w:tc>
        <w:tc>
          <w:tcPr>
            <w:tcW w:w="1346" w:type="dxa"/>
            <w:vMerge/>
            <w:tcBorders>
              <w:top w:val="nil"/>
              <w:left w:val="single" w:sz="4" w:space="0" w:color="000000"/>
              <w:bottom w:val="single" w:sz="4" w:space="0" w:color="010202"/>
              <w:right w:val="single" w:sz="2" w:space="0" w:color="000000"/>
            </w:tcBorders>
          </w:tcPr>
          <w:p>
            <w:pPr>
              <w:rPr>
                <w:sz w:val="2"/>
                <w:szCs w:val="2"/>
              </w:rPr>
            </w:pPr>
          </w:p>
        </w:tc>
        <w:tc>
          <w:tcPr>
            <w:tcW w:w="1800" w:type="dxa"/>
            <w:vMerge/>
            <w:tcBorders>
              <w:top w:val="nil"/>
              <w:left w:val="single" w:sz="2" w:space="0" w:color="000000"/>
              <w:bottom w:val="single" w:sz="4" w:space="0" w:color="010202"/>
              <w:right w:val="single" w:sz="4" w:space="0" w:color="010202"/>
            </w:tcBorders>
          </w:tcPr>
          <w:p>
            <w:pPr>
              <w:rPr>
                <w:sz w:val="2"/>
                <w:szCs w:val="2"/>
              </w:rPr>
            </w:pPr>
          </w:p>
        </w:tc>
      </w:tr>
      <w:tr>
        <w:trPr>
          <w:trHeight w:val="283" w:hRule="atLeast"/>
        </w:trPr>
        <w:tc>
          <w:tcPr>
            <w:tcW w:w="1096" w:type="dxa"/>
            <w:tcBorders>
              <w:top w:val="nil"/>
              <w:left w:val="single" w:sz="4" w:space="0" w:color="000000"/>
              <w:bottom w:val="nil"/>
              <w:right w:val="nil"/>
            </w:tcBorders>
          </w:tcPr>
          <w:p>
            <w:pPr>
              <w:pStyle w:val="TableParagraph"/>
              <w:spacing w:before="14"/>
              <w:ind w:left="8" w:right="203"/>
              <w:jc w:val="center"/>
              <w:rPr>
                <w:sz w:val="21"/>
              </w:rPr>
            </w:pPr>
            <w:r>
              <w:rPr>
                <w:color w:val="111313"/>
                <w:w w:val="105"/>
                <w:sz w:val="21"/>
              </w:rPr>
              <w:t>EP</w:t>
            </w:r>
            <w:r>
              <w:rPr>
                <w:color w:val="111313"/>
                <w:spacing w:val="41"/>
                <w:w w:val="105"/>
                <w:sz w:val="21"/>
              </w:rPr>
              <w:t> </w:t>
            </w:r>
            <w:r>
              <w:rPr>
                <w:color w:val="111313"/>
                <w:spacing w:val="-10"/>
                <w:w w:val="105"/>
                <w:sz w:val="21"/>
              </w:rPr>
              <w:t>3</w:t>
            </w:r>
          </w:p>
        </w:tc>
        <w:tc>
          <w:tcPr>
            <w:tcW w:w="1081" w:type="dxa"/>
            <w:tcBorders>
              <w:top w:val="nil"/>
              <w:left w:val="nil"/>
              <w:bottom w:val="nil"/>
              <w:right w:val="single" w:sz="2" w:space="0" w:color="000000"/>
            </w:tcBorders>
          </w:tcPr>
          <w:p>
            <w:pPr>
              <w:pStyle w:val="TableParagraph"/>
              <w:spacing w:before="19"/>
              <w:ind w:left="5" w:right="26"/>
              <w:jc w:val="center"/>
              <w:rPr>
                <w:sz w:val="21"/>
              </w:rPr>
            </w:pPr>
            <w:r>
              <w:rPr>
                <w:color w:val="111313"/>
                <w:spacing w:val="-2"/>
                <w:sz w:val="21"/>
              </w:rPr>
              <w:t>0.738</w:t>
            </w:r>
          </w:p>
        </w:tc>
        <w:tc>
          <w:tcPr>
            <w:tcW w:w="1327" w:type="dxa"/>
            <w:vMerge/>
            <w:tcBorders>
              <w:top w:val="nil"/>
              <w:left w:val="single" w:sz="2" w:space="0" w:color="000000"/>
              <w:bottom w:val="single" w:sz="4" w:space="0" w:color="010202"/>
              <w:right w:val="single" w:sz="4" w:space="0" w:color="000000"/>
            </w:tcBorders>
          </w:tcPr>
          <w:p>
            <w:pPr>
              <w:rPr>
                <w:sz w:val="2"/>
                <w:szCs w:val="2"/>
              </w:rPr>
            </w:pPr>
          </w:p>
        </w:tc>
        <w:tc>
          <w:tcPr>
            <w:tcW w:w="1312" w:type="dxa"/>
            <w:vMerge/>
            <w:tcBorders>
              <w:top w:val="nil"/>
              <w:left w:val="single" w:sz="4" w:space="0" w:color="000000"/>
              <w:bottom w:val="single" w:sz="4" w:space="0" w:color="010202"/>
              <w:right w:val="single" w:sz="4" w:space="0" w:color="000000"/>
            </w:tcBorders>
          </w:tcPr>
          <w:p>
            <w:pPr>
              <w:rPr>
                <w:sz w:val="2"/>
                <w:szCs w:val="2"/>
              </w:rPr>
            </w:pPr>
          </w:p>
        </w:tc>
        <w:tc>
          <w:tcPr>
            <w:tcW w:w="1346" w:type="dxa"/>
            <w:vMerge/>
            <w:tcBorders>
              <w:top w:val="nil"/>
              <w:left w:val="single" w:sz="4" w:space="0" w:color="000000"/>
              <w:bottom w:val="single" w:sz="4" w:space="0" w:color="010202"/>
              <w:right w:val="single" w:sz="2" w:space="0" w:color="000000"/>
            </w:tcBorders>
          </w:tcPr>
          <w:p>
            <w:pPr>
              <w:rPr>
                <w:sz w:val="2"/>
                <w:szCs w:val="2"/>
              </w:rPr>
            </w:pPr>
          </w:p>
        </w:tc>
        <w:tc>
          <w:tcPr>
            <w:tcW w:w="1800" w:type="dxa"/>
            <w:vMerge/>
            <w:tcBorders>
              <w:top w:val="nil"/>
              <w:left w:val="single" w:sz="2" w:space="0" w:color="000000"/>
              <w:bottom w:val="single" w:sz="4" w:space="0" w:color="010202"/>
              <w:right w:val="single" w:sz="4" w:space="0" w:color="010202"/>
            </w:tcBorders>
          </w:tcPr>
          <w:p>
            <w:pPr>
              <w:rPr>
                <w:sz w:val="2"/>
                <w:szCs w:val="2"/>
              </w:rPr>
            </w:pPr>
          </w:p>
        </w:tc>
      </w:tr>
      <w:tr>
        <w:trPr>
          <w:trHeight w:val="278" w:hRule="atLeast"/>
        </w:trPr>
        <w:tc>
          <w:tcPr>
            <w:tcW w:w="1096" w:type="dxa"/>
            <w:tcBorders>
              <w:top w:val="nil"/>
              <w:left w:val="single" w:sz="4" w:space="0" w:color="000000"/>
              <w:bottom w:val="nil"/>
              <w:right w:val="nil"/>
            </w:tcBorders>
          </w:tcPr>
          <w:p>
            <w:pPr>
              <w:pStyle w:val="TableParagraph"/>
              <w:spacing w:before="14"/>
              <w:ind w:left="6" w:right="203"/>
              <w:jc w:val="center"/>
              <w:rPr>
                <w:sz w:val="21"/>
              </w:rPr>
            </w:pPr>
            <w:r>
              <w:rPr>
                <w:color w:val="111313"/>
                <w:w w:val="105"/>
                <w:sz w:val="21"/>
              </w:rPr>
              <w:t>EP</w:t>
            </w:r>
            <w:r>
              <w:rPr>
                <w:color w:val="111313"/>
                <w:spacing w:val="41"/>
                <w:w w:val="105"/>
                <w:sz w:val="21"/>
              </w:rPr>
              <w:t> </w:t>
            </w:r>
            <w:r>
              <w:rPr>
                <w:color w:val="111313"/>
                <w:spacing w:val="-10"/>
                <w:w w:val="105"/>
                <w:sz w:val="21"/>
              </w:rPr>
              <w:t>4</w:t>
            </w:r>
          </w:p>
        </w:tc>
        <w:tc>
          <w:tcPr>
            <w:tcW w:w="1081" w:type="dxa"/>
            <w:tcBorders>
              <w:top w:val="nil"/>
              <w:left w:val="nil"/>
              <w:bottom w:val="nil"/>
              <w:right w:val="single" w:sz="2" w:space="0" w:color="000000"/>
            </w:tcBorders>
          </w:tcPr>
          <w:p>
            <w:pPr>
              <w:pStyle w:val="TableParagraph"/>
              <w:spacing w:before="14"/>
              <w:ind w:right="26"/>
              <w:jc w:val="center"/>
              <w:rPr>
                <w:sz w:val="21"/>
              </w:rPr>
            </w:pPr>
            <w:r>
              <w:rPr>
                <w:color w:val="111313"/>
                <w:spacing w:val="-2"/>
                <w:sz w:val="21"/>
              </w:rPr>
              <w:t>0.753</w:t>
            </w:r>
          </w:p>
        </w:tc>
        <w:tc>
          <w:tcPr>
            <w:tcW w:w="1327" w:type="dxa"/>
            <w:vMerge/>
            <w:tcBorders>
              <w:top w:val="nil"/>
              <w:left w:val="single" w:sz="2" w:space="0" w:color="000000"/>
              <w:bottom w:val="single" w:sz="4" w:space="0" w:color="010202"/>
              <w:right w:val="single" w:sz="4" w:space="0" w:color="000000"/>
            </w:tcBorders>
          </w:tcPr>
          <w:p>
            <w:pPr>
              <w:rPr>
                <w:sz w:val="2"/>
                <w:szCs w:val="2"/>
              </w:rPr>
            </w:pPr>
          </w:p>
        </w:tc>
        <w:tc>
          <w:tcPr>
            <w:tcW w:w="1312" w:type="dxa"/>
            <w:vMerge/>
            <w:tcBorders>
              <w:top w:val="nil"/>
              <w:left w:val="single" w:sz="4" w:space="0" w:color="000000"/>
              <w:bottom w:val="single" w:sz="4" w:space="0" w:color="010202"/>
              <w:right w:val="single" w:sz="4" w:space="0" w:color="000000"/>
            </w:tcBorders>
          </w:tcPr>
          <w:p>
            <w:pPr>
              <w:rPr>
                <w:sz w:val="2"/>
                <w:szCs w:val="2"/>
              </w:rPr>
            </w:pPr>
          </w:p>
        </w:tc>
        <w:tc>
          <w:tcPr>
            <w:tcW w:w="1346" w:type="dxa"/>
            <w:vMerge/>
            <w:tcBorders>
              <w:top w:val="nil"/>
              <w:left w:val="single" w:sz="4" w:space="0" w:color="000000"/>
              <w:bottom w:val="single" w:sz="4" w:space="0" w:color="010202"/>
              <w:right w:val="single" w:sz="2" w:space="0" w:color="000000"/>
            </w:tcBorders>
          </w:tcPr>
          <w:p>
            <w:pPr>
              <w:rPr>
                <w:sz w:val="2"/>
                <w:szCs w:val="2"/>
              </w:rPr>
            </w:pPr>
          </w:p>
        </w:tc>
        <w:tc>
          <w:tcPr>
            <w:tcW w:w="1800" w:type="dxa"/>
            <w:vMerge/>
            <w:tcBorders>
              <w:top w:val="nil"/>
              <w:left w:val="single" w:sz="2" w:space="0" w:color="000000"/>
              <w:bottom w:val="single" w:sz="4" w:space="0" w:color="010202"/>
              <w:right w:val="single" w:sz="4" w:space="0" w:color="010202"/>
            </w:tcBorders>
          </w:tcPr>
          <w:p>
            <w:pPr>
              <w:rPr>
                <w:sz w:val="2"/>
                <w:szCs w:val="2"/>
              </w:rPr>
            </w:pPr>
          </w:p>
        </w:tc>
      </w:tr>
      <w:tr>
        <w:trPr>
          <w:trHeight w:val="296" w:hRule="atLeast"/>
        </w:trPr>
        <w:tc>
          <w:tcPr>
            <w:tcW w:w="1096" w:type="dxa"/>
            <w:tcBorders>
              <w:top w:val="nil"/>
              <w:left w:val="single" w:sz="4" w:space="0" w:color="000000"/>
              <w:bottom w:val="single" w:sz="4" w:space="0" w:color="010202"/>
              <w:right w:val="nil"/>
            </w:tcBorders>
          </w:tcPr>
          <w:p>
            <w:pPr>
              <w:pStyle w:val="TableParagraph"/>
              <w:spacing w:before="14"/>
              <w:ind w:left="4" w:right="203"/>
              <w:jc w:val="center"/>
              <w:rPr>
                <w:sz w:val="21"/>
              </w:rPr>
            </w:pPr>
            <w:r>
              <w:rPr>
                <w:color w:val="111313"/>
                <w:w w:val="105"/>
                <w:sz w:val="21"/>
              </w:rPr>
              <w:t>EP</w:t>
            </w:r>
            <w:r>
              <w:rPr>
                <w:color w:val="111313"/>
                <w:spacing w:val="39"/>
                <w:w w:val="105"/>
                <w:sz w:val="21"/>
              </w:rPr>
              <w:t> </w:t>
            </w:r>
            <w:r>
              <w:rPr>
                <w:color w:val="111313"/>
                <w:spacing w:val="-10"/>
                <w:w w:val="105"/>
                <w:sz w:val="21"/>
              </w:rPr>
              <w:t>5</w:t>
            </w:r>
          </w:p>
        </w:tc>
        <w:tc>
          <w:tcPr>
            <w:tcW w:w="1081" w:type="dxa"/>
            <w:tcBorders>
              <w:top w:val="nil"/>
              <w:left w:val="nil"/>
              <w:bottom w:val="single" w:sz="4" w:space="0" w:color="010202"/>
              <w:right w:val="single" w:sz="2" w:space="0" w:color="000000"/>
            </w:tcBorders>
          </w:tcPr>
          <w:p>
            <w:pPr>
              <w:pStyle w:val="TableParagraph"/>
              <w:spacing w:before="14"/>
              <w:ind w:right="26"/>
              <w:jc w:val="center"/>
              <w:rPr>
                <w:sz w:val="21"/>
              </w:rPr>
            </w:pPr>
            <w:r>
              <w:rPr>
                <w:color w:val="111313"/>
                <w:spacing w:val="-2"/>
                <w:sz w:val="21"/>
              </w:rPr>
              <w:t>0.786</w:t>
            </w:r>
          </w:p>
        </w:tc>
        <w:tc>
          <w:tcPr>
            <w:tcW w:w="1327" w:type="dxa"/>
            <w:vMerge/>
            <w:tcBorders>
              <w:top w:val="nil"/>
              <w:left w:val="single" w:sz="2" w:space="0" w:color="000000"/>
              <w:bottom w:val="single" w:sz="4" w:space="0" w:color="010202"/>
              <w:right w:val="single" w:sz="4" w:space="0" w:color="000000"/>
            </w:tcBorders>
          </w:tcPr>
          <w:p>
            <w:pPr>
              <w:rPr>
                <w:sz w:val="2"/>
                <w:szCs w:val="2"/>
              </w:rPr>
            </w:pPr>
          </w:p>
        </w:tc>
        <w:tc>
          <w:tcPr>
            <w:tcW w:w="1312" w:type="dxa"/>
            <w:vMerge/>
            <w:tcBorders>
              <w:top w:val="nil"/>
              <w:left w:val="single" w:sz="4" w:space="0" w:color="000000"/>
              <w:bottom w:val="single" w:sz="4" w:space="0" w:color="010202"/>
              <w:right w:val="single" w:sz="4" w:space="0" w:color="000000"/>
            </w:tcBorders>
          </w:tcPr>
          <w:p>
            <w:pPr>
              <w:rPr>
                <w:sz w:val="2"/>
                <w:szCs w:val="2"/>
              </w:rPr>
            </w:pPr>
          </w:p>
        </w:tc>
        <w:tc>
          <w:tcPr>
            <w:tcW w:w="1346" w:type="dxa"/>
            <w:vMerge/>
            <w:tcBorders>
              <w:top w:val="nil"/>
              <w:left w:val="single" w:sz="4" w:space="0" w:color="000000"/>
              <w:bottom w:val="single" w:sz="4" w:space="0" w:color="010202"/>
              <w:right w:val="single" w:sz="2" w:space="0" w:color="000000"/>
            </w:tcBorders>
          </w:tcPr>
          <w:p>
            <w:pPr>
              <w:rPr>
                <w:sz w:val="2"/>
                <w:szCs w:val="2"/>
              </w:rPr>
            </w:pPr>
          </w:p>
        </w:tc>
        <w:tc>
          <w:tcPr>
            <w:tcW w:w="1800" w:type="dxa"/>
            <w:vMerge/>
            <w:tcBorders>
              <w:top w:val="nil"/>
              <w:left w:val="single" w:sz="2" w:space="0" w:color="000000"/>
              <w:bottom w:val="single" w:sz="4" w:space="0" w:color="010202"/>
              <w:right w:val="single" w:sz="4" w:space="0" w:color="010202"/>
            </w:tcBorders>
          </w:tcPr>
          <w:p>
            <w:pPr>
              <w:rPr>
                <w:sz w:val="2"/>
                <w:szCs w:val="2"/>
              </w:rPr>
            </w:pPr>
          </w:p>
        </w:tc>
      </w:tr>
      <w:tr>
        <w:trPr>
          <w:trHeight w:val="527" w:hRule="atLeast"/>
        </w:trPr>
        <w:tc>
          <w:tcPr>
            <w:tcW w:w="2177" w:type="dxa"/>
            <w:gridSpan w:val="2"/>
            <w:tcBorders>
              <w:top w:val="single" w:sz="4" w:space="0" w:color="010202"/>
              <w:left w:val="nil"/>
              <w:bottom w:val="single" w:sz="4" w:space="0" w:color="010202"/>
              <w:right w:val="single" w:sz="4" w:space="0" w:color="010202"/>
            </w:tcBorders>
            <w:shd w:val="clear" w:color="auto" w:fill="E5EDD4"/>
          </w:tcPr>
          <w:p>
            <w:pPr>
              <w:pStyle w:val="TableParagraph"/>
              <w:ind w:left="112"/>
              <w:rPr>
                <w:b/>
                <w:sz w:val="21"/>
              </w:rPr>
            </w:pPr>
            <w:r>
              <w:rPr>
                <w:b/>
                <w:sz w:val="21"/>
              </w:rPr>
              <mc:AlternateContent>
                <mc:Choice Requires="wps">
                  <w:drawing>
                    <wp:anchor distT="0" distB="0" distL="0" distR="0" allowOverlap="1" layoutInCell="1" locked="0" behindDoc="0" simplePos="0" relativeHeight="15730176">
                      <wp:simplePos x="0" y="0"/>
                      <wp:positionH relativeFrom="column">
                        <wp:posOffset>71096</wp:posOffset>
                      </wp:positionH>
                      <wp:positionV relativeFrom="paragraph">
                        <wp:posOffset>201202</wp:posOffset>
                      </wp:positionV>
                      <wp:extent cx="297815" cy="118745"/>
                      <wp:effectExtent l="0" t="0" r="0" b="0"/>
                      <wp:wrapNone/>
                      <wp:docPr id="7" name="Group 7"/>
                      <wp:cNvGraphicFramePr>
                        <a:graphicFrameLocks/>
                      </wp:cNvGraphicFramePr>
                      <a:graphic>
                        <a:graphicData uri="http://schemas.microsoft.com/office/word/2010/wordprocessingGroup">
                          <wpg:wgp>
                            <wpg:cNvPr id="7" name="Group 7"/>
                            <wpg:cNvGrpSpPr/>
                            <wpg:grpSpPr>
                              <a:xfrm>
                                <a:off x="0" y="0"/>
                                <a:ext cx="297815" cy="118745"/>
                                <a:chExt cx="297815" cy="118745"/>
                              </a:xfrm>
                            </wpg:grpSpPr>
                            <wps:wsp>
                              <wps:cNvPr id="8" name="Graphic 8"/>
                              <wps:cNvSpPr/>
                              <wps:spPr>
                                <a:xfrm>
                                  <a:off x="0" y="0"/>
                                  <a:ext cx="297815" cy="118745"/>
                                </a:xfrm>
                                <a:custGeom>
                                  <a:avLst/>
                                  <a:gdLst/>
                                  <a:ahLst/>
                                  <a:cxnLst/>
                                  <a:rect l="l" t="t" r="r" b="b"/>
                                  <a:pathLst>
                                    <a:path w="297815" h="118745">
                                      <a:moveTo>
                                        <a:pt x="37994" y="0"/>
                                      </a:moveTo>
                                      <a:lnTo>
                                        <a:pt x="6197" y="29969"/>
                                      </a:lnTo>
                                      <a:lnTo>
                                        <a:pt x="0" y="58906"/>
                                      </a:lnTo>
                                      <a:lnTo>
                                        <a:pt x="639" y="68521"/>
                                      </a:lnTo>
                                      <a:lnTo>
                                        <a:pt x="16874" y="104273"/>
                                      </a:lnTo>
                                      <a:lnTo>
                                        <a:pt x="37994" y="118540"/>
                                      </a:lnTo>
                                      <a:lnTo>
                                        <a:pt x="37994" y="115238"/>
                                      </a:lnTo>
                                      <a:lnTo>
                                        <a:pt x="33905" y="112909"/>
                                      </a:lnTo>
                                      <a:lnTo>
                                        <a:pt x="30716" y="110206"/>
                                      </a:lnTo>
                                      <a:lnTo>
                                        <a:pt x="17974" y="69285"/>
                                      </a:lnTo>
                                      <a:lnTo>
                                        <a:pt x="17923" y="68521"/>
                                      </a:lnTo>
                                      <a:lnTo>
                                        <a:pt x="20909" y="27049"/>
                                      </a:lnTo>
                                      <a:lnTo>
                                        <a:pt x="37994" y="3034"/>
                                      </a:lnTo>
                                      <a:lnTo>
                                        <a:pt x="37994" y="0"/>
                                      </a:lnTo>
                                      <a:close/>
                                    </a:path>
                                    <a:path w="297815" h="118745">
                                      <a:moveTo>
                                        <a:pt x="108929" y="89048"/>
                                      </a:moveTo>
                                      <a:lnTo>
                                        <a:pt x="62092" y="89048"/>
                                      </a:lnTo>
                                      <a:lnTo>
                                        <a:pt x="62092" y="91493"/>
                                      </a:lnTo>
                                      <a:lnTo>
                                        <a:pt x="108929" y="91493"/>
                                      </a:lnTo>
                                      <a:lnTo>
                                        <a:pt x="108929" y="89048"/>
                                      </a:lnTo>
                                      <a:close/>
                                    </a:path>
                                    <a:path w="297815" h="118745">
                                      <a:moveTo>
                                        <a:pt x="96199" y="7188"/>
                                      </a:moveTo>
                                      <a:lnTo>
                                        <a:pt x="74762" y="7188"/>
                                      </a:lnTo>
                                      <a:lnTo>
                                        <a:pt x="74754" y="80765"/>
                                      </a:lnTo>
                                      <a:lnTo>
                                        <a:pt x="74517" y="83447"/>
                                      </a:lnTo>
                                      <a:lnTo>
                                        <a:pt x="73371" y="85996"/>
                                      </a:lnTo>
                                      <a:lnTo>
                                        <a:pt x="72591" y="86911"/>
                                      </a:lnTo>
                                      <a:lnTo>
                                        <a:pt x="72472" y="87050"/>
                                      </a:lnTo>
                                      <a:lnTo>
                                        <a:pt x="69599" y="88620"/>
                                      </a:lnTo>
                                      <a:lnTo>
                                        <a:pt x="67655" y="89048"/>
                                      </a:lnTo>
                                      <a:lnTo>
                                        <a:pt x="103411" y="89048"/>
                                      </a:lnTo>
                                      <a:lnTo>
                                        <a:pt x="96199" y="80765"/>
                                      </a:lnTo>
                                      <a:lnTo>
                                        <a:pt x="96199" y="7188"/>
                                      </a:lnTo>
                                      <a:close/>
                                    </a:path>
                                    <a:path w="297815" h="118745">
                                      <a:moveTo>
                                        <a:pt x="125749" y="2044"/>
                                      </a:moveTo>
                                      <a:lnTo>
                                        <a:pt x="45403" y="2044"/>
                                      </a:lnTo>
                                      <a:lnTo>
                                        <a:pt x="45403" y="26254"/>
                                      </a:lnTo>
                                      <a:lnTo>
                                        <a:pt x="47909" y="26254"/>
                                      </a:lnTo>
                                      <a:lnTo>
                                        <a:pt x="48920" y="19659"/>
                                      </a:lnTo>
                                      <a:lnTo>
                                        <a:pt x="51339" y="14579"/>
                                      </a:lnTo>
                                      <a:lnTo>
                                        <a:pt x="57891" y="8467"/>
                                      </a:lnTo>
                                      <a:lnTo>
                                        <a:pt x="62266" y="7188"/>
                                      </a:lnTo>
                                      <a:lnTo>
                                        <a:pt x="125749" y="7188"/>
                                      </a:lnTo>
                                      <a:lnTo>
                                        <a:pt x="125749" y="2044"/>
                                      </a:lnTo>
                                      <a:close/>
                                    </a:path>
                                    <a:path w="297815" h="118745">
                                      <a:moveTo>
                                        <a:pt x="125749" y="7188"/>
                                      </a:moveTo>
                                      <a:lnTo>
                                        <a:pt x="107039" y="7188"/>
                                      </a:lnTo>
                                      <a:lnTo>
                                        <a:pt x="109962" y="7584"/>
                                      </a:lnTo>
                                      <a:lnTo>
                                        <a:pt x="114621" y="9831"/>
                                      </a:lnTo>
                                      <a:lnTo>
                                        <a:pt x="116975" y="11775"/>
                                      </a:lnTo>
                                      <a:lnTo>
                                        <a:pt x="120406" y="16657"/>
                                      </a:lnTo>
                                      <a:lnTo>
                                        <a:pt x="121964" y="20670"/>
                                      </a:lnTo>
                                      <a:lnTo>
                                        <a:pt x="123376" y="26254"/>
                                      </a:lnTo>
                                      <a:lnTo>
                                        <a:pt x="125749" y="26254"/>
                                      </a:lnTo>
                                      <a:lnTo>
                                        <a:pt x="125749" y="7188"/>
                                      </a:lnTo>
                                      <a:close/>
                                    </a:path>
                                    <a:path w="297815" h="118745">
                                      <a:moveTo>
                                        <a:pt x="163944" y="89095"/>
                                      </a:moveTo>
                                      <a:lnTo>
                                        <a:pt x="133337" y="89095"/>
                                      </a:lnTo>
                                      <a:lnTo>
                                        <a:pt x="133337" y="91493"/>
                                      </a:lnTo>
                                      <a:lnTo>
                                        <a:pt x="163944" y="91493"/>
                                      </a:lnTo>
                                      <a:lnTo>
                                        <a:pt x="163944" y="89095"/>
                                      </a:lnTo>
                                      <a:close/>
                                    </a:path>
                                    <a:path w="297815" h="118745">
                                      <a:moveTo>
                                        <a:pt x="173481" y="10490"/>
                                      </a:moveTo>
                                      <a:lnTo>
                                        <a:pt x="150883" y="10490"/>
                                      </a:lnTo>
                                      <a:lnTo>
                                        <a:pt x="185710" y="91493"/>
                                      </a:lnTo>
                                      <a:lnTo>
                                        <a:pt x="187294" y="91493"/>
                                      </a:lnTo>
                                      <a:lnTo>
                                        <a:pt x="200107" y="61015"/>
                                      </a:lnTo>
                                      <a:lnTo>
                                        <a:pt x="195016" y="61015"/>
                                      </a:lnTo>
                                      <a:lnTo>
                                        <a:pt x="173481" y="10490"/>
                                      </a:lnTo>
                                      <a:close/>
                                    </a:path>
                                    <a:path w="297815" h="118745">
                                      <a:moveTo>
                                        <a:pt x="255705" y="89095"/>
                                      </a:moveTo>
                                      <a:lnTo>
                                        <a:pt x="208998" y="89095"/>
                                      </a:lnTo>
                                      <a:lnTo>
                                        <a:pt x="208998" y="91493"/>
                                      </a:lnTo>
                                      <a:lnTo>
                                        <a:pt x="255705" y="91493"/>
                                      </a:lnTo>
                                      <a:lnTo>
                                        <a:pt x="255705" y="89095"/>
                                      </a:lnTo>
                                      <a:close/>
                                    </a:path>
                                    <a:path w="297815" h="118745">
                                      <a:moveTo>
                                        <a:pt x="169881" y="2044"/>
                                      </a:moveTo>
                                      <a:lnTo>
                                        <a:pt x="133337" y="2044"/>
                                      </a:lnTo>
                                      <a:lnTo>
                                        <a:pt x="133337" y="4485"/>
                                      </a:lnTo>
                                      <a:lnTo>
                                        <a:pt x="138676" y="4485"/>
                                      </a:lnTo>
                                      <a:lnTo>
                                        <a:pt x="140737" y="4949"/>
                                      </a:lnTo>
                                      <a:lnTo>
                                        <a:pt x="143670" y="6630"/>
                                      </a:lnTo>
                                      <a:lnTo>
                                        <a:pt x="144659" y="7617"/>
                                      </a:lnTo>
                                      <a:lnTo>
                                        <a:pt x="145633" y="9895"/>
                                      </a:lnTo>
                                      <a:lnTo>
                                        <a:pt x="145868" y="12776"/>
                                      </a:lnTo>
                                      <a:lnTo>
                                        <a:pt x="145825" y="80059"/>
                                      </a:lnTo>
                                      <a:lnTo>
                                        <a:pt x="136243" y="89095"/>
                                      </a:lnTo>
                                      <a:lnTo>
                                        <a:pt x="160064" y="89095"/>
                                      </a:lnTo>
                                      <a:lnTo>
                                        <a:pt x="150883" y="10490"/>
                                      </a:lnTo>
                                      <a:lnTo>
                                        <a:pt x="173481" y="10490"/>
                                      </a:lnTo>
                                      <a:lnTo>
                                        <a:pt x="169881" y="2044"/>
                                      </a:lnTo>
                                      <a:close/>
                                    </a:path>
                                    <a:path w="297815" h="118745">
                                      <a:moveTo>
                                        <a:pt x="243401" y="9895"/>
                                      </a:moveTo>
                                      <a:lnTo>
                                        <a:pt x="221598" y="9895"/>
                                      </a:lnTo>
                                      <a:lnTo>
                                        <a:pt x="221517" y="81601"/>
                                      </a:lnTo>
                                      <a:lnTo>
                                        <a:pt x="221430" y="82608"/>
                                      </a:lnTo>
                                      <a:lnTo>
                                        <a:pt x="221357" y="83447"/>
                                      </a:lnTo>
                                      <a:lnTo>
                                        <a:pt x="220209" y="85996"/>
                                      </a:lnTo>
                                      <a:lnTo>
                                        <a:pt x="219446" y="86911"/>
                                      </a:lnTo>
                                      <a:lnTo>
                                        <a:pt x="219330" y="87050"/>
                                      </a:lnTo>
                                      <a:lnTo>
                                        <a:pt x="217044" y="88361"/>
                                      </a:lnTo>
                                      <a:lnTo>
                                        <a:pt x="216502" y="88620"/>
                                      </a:lnTo>
                                      <a:lnTo>
                                        <a:pt x="214327" y="89095"/>
                                      </a:lnTo>
                                      <a:lnTo>
                                        <a:pt x="250513" y="89095"/>
                                      </a:lnTo>
                                      <a:lnTo>
                                        <a:pt x="243257" y="82608"/>
                                      </a:lnTo>
                                      <a:lnTo>
                                        <a:pt x="243174" y="81601"/>
                                      </a:lnTo>
                                      <a:lnTo>
                                        <a:pt x="243104" y="12776"/>
                                      </a:lnTo>
                                      <a:lnTo>
                                        <a:pt x="243302" y="10490"/>
                                      </a:lnTo>
                                      <a:lnTo>
                                        <a:pt x="243401" y="9895"/>
                                      </a:lnTo>
                                      <a:close/>
                                    </a:path>
                                    <a:path w="297815" h="118745">
                                      <a:moveTo>
                                        <a:pt x="255705" y="2044"/>
                                      </a:moveTo>
                                      <a:lnTo>
                                        <a:pt x="219290" y="2044"/>
                                      </a:lnTo>
                                      <a:lnTo>
                                        <a:pt x="195016" y="61015"/>
                                      </a:lnTo>
                                      <a:lnTo>
                                        <a:pt x="200107" y="61015"/>
                                      </a:lnTo>
                                      <a:lnTo>
                                        <a:pt x="221544" y="10025"/>
                                      </a:lnTo>
                                      <a:lnTo>
                                        <a:pt x="221598" y="9895"/>
                                      </a:lnTo>
                                      <a:lnTo>
                                        <a:pt x="243401" y="9895"/>
                                      </a:lnTo>
                                      <a:lnTo>
                                        <a:pt x="244444" y="7617"/>
                                      </a:lnTo>
                                      <a:lnTo>
                                        <a:pt x="245243" y="6630"/>
                                      </a:lnTo>
                                      <a:lnTo>
                                        <a:pt x="245365" y="6487"/>
                                      </a:lnTo>
                                      <a:lnTo>
                                        <a:pt x="246467" y="5871"/>
                                      </a:lnTo>
                                      <a:lnTo>
                                        <a:pt x="248047" y="4949"/>
                                      </a:lnTo>
                                      <a:lnTo>
                                        <a:pt x="250160" y="4485"/>
                                      </a:lnTo>
                                      <a:lnTo>
                                        <a:pt x="255705" y="4485"/>
                                      </a:lnTo>
                                      <a:lnTo>
                                        <a:pt x="255705" y="2044"/>
                                      </a:lnTo>
                                      <a:close/>
                                    </a:path>
                                    <a:path w="297815" h="118745">
                                      <a:moveTo>
                                        <a:pt x="259791" y="0"/>
                                      </a:moveTo>
                                      <a:lnTo>
                                        <a:pt x="259907" y="3366"/>
                                      </a:lnTo>
                                      <a:lnTo>
                                        <a:pt x="263880" y="5626"/>
                                      </a:lnTo>
                                      <a:lnTo>
                                        <a:pt x="267070" y="8333"/>
                                      </a:lnTo>
                                      <a:lnTo>
                                        <a:pt x="279819" y="49254"/>
                                      </a:lnTo>
                                      <a:lnTo>
                                        <a:pt x="280045" y="59173"/>
                                      </a:lnTo>
                                      <a:lnTo>
                                        <a:pt x="279846" y="68960"/>
                                      </a:lnTo>
                                      <a:lnTo>
                                        <a:pt x="269885" y="106667"/>
                                      </a:lnTo>
                                      <a:lnTo>
                                        <a:pt x="259791" y="115505"/>
                                      </a:lnTo>
                                      <a:lnTo>
                                        <a:pt x="259791" y="118540"/>
                                      </a:lnTo>
                                      <a:lnTo>
                                        <a:pt x="291571" y="88505"/>
                                      </a:lnTo>
                                      <a:lnTo>
                                        <a:pt x="297789" y="59634"/>
                                      </a:lnTo>
                                      <a:lnTo>
                                        <a:pt x="297145" y="49956"/>
                                      </a:lnTo>
                                      <a:lnTo>
                                        <a:pt x="280911" y="14266"/>
                                      </a:lnTo>
                                      <a:lnTo>
                                        <a:pt x="267438" y="3366"/>
                                      </a:lnTo>
                                      <a:lnTo>
                                        <a:pt x="259791" y="0"/>
                                      </a:lnTo>
                                      <a:close/>
                                    </a:path>
                                  </a:pathLst>
                                </a:custGeom>
                                <a:solidFill>
                                  <a:srgbClr val="010202"/>
                                </a:solidFill>
                              </wps:spPr>
                              <wps:bodyPr wrap="square" lIns="0" tIns="0" rIns="0" bIns="0" rtlCol="0">
                                <a:prstTxWarp prst="textNoShape">
                                  <a:avLst/>
                                </a:prstTxWarp>
                                <a:noAutofit/>
                              </wps:bodyPr>
                            </wps:wsp>
                          </wpg:wgp>
                        </a:graphicData>
                      </a:graphic>
                    </wp:anchor>
                  </w:drawing>
                </mc:Choice>
                <mc:Fallback>
                  <w:pict>
                    <v:group style="position:absolute;margin-left:5.598168pt;margin-top:15.84274pt;width:23.45pt;height:9.35pt;mso-position-horizontal-relative:column;mso-position-vertical-relative:paragraph;z-index:15730176" id="docshapegroup7" coordorigin="112,317" coordsize="469,187">
                      <v:shape style="position:absolute;left:111;top:316;width:469;height:187" id="docshape8" coordorigin="112,317" coordsize="469,187" path="m172,317l160,322,149,329,138,339,129,351,122,364,116,378,113,393,112,410,113,425,113,426,116,441,122,456,130,469,139,481,149,491,160,498,172,504,172,498,165,495,160,490,152,479,147,469,144,458,142,449,141,438,140,426,140,425,140,410,140,395,141,381,143,369,145,359,148,350,151,342,159,331,165,326,172,322,172,317xm284,457l210,457,210,461,284,461,284,457xm263,328l230,328,230,444,229,448,228,452,226,454,226,454,222,456,219,457,275,457,272,456,267,454,266,452,264,449,263,444,263,328xm310,320l183,320,183,358,187,358,189,348,193,340,203,330,210,328,310,328,310,320xm310,328l281,328,285,329,292,332,296,335,302,343,304,349,306,358,310,358,310,328xm370,457l322,457,322,461,370,461,370,457xm385,333l350,333,404,461,407,461,427,413,419,413,385,333xm515,457l441,457,441,461,515,461,515,457xm379,320l322,320,322,324,330,324,334,325,338,327,340,329,341,332,342,337,342,443,341,444,341,447,340,449,337,453,335,455,329,457,327,457,364,457,359,456,353,452,351,449,350,445,350,444,350,413,350,333,385,333,379,320xm495,332l461,332,461,445,461,447,461,448,459,452,458,454,457,454,454,456,453,456,449,457,506,457,503,456,498,454,497,452,496,452,495,449,495,448,495,447,495,445,495,337,495,333,495,332xm515,320l457,320,419,413,427,413,461,333,461,332,495,332,497,329,498,327,498,327,500,326,503,325,506,324,515,324,515,320xm521,317l521,322,528,326,533,330,541,342,545,351,548,362,550,372,552,383,553,394,553,396,553,410,553,425,552,439,550,451,548,461,545,471,542,479,537,485,534,489,528,494,521,499,521,504,533,498,544,491,554,481,564,470,571,456,577,442,580,427,581,411,580,396,580,394,577,379,571,365,564,351,554,339,544,330,533,322,521,317xe" filled="true" fillcolor="#010202" stroked="false">
                        <v:path arrowok="t"/>
                        <v:fill type="solid"/>
                      </v:shape>
                      <w10:wrap type="none"/>
                    </v:group>
                  </w:pict>
                </mc:Fallback>
              </mc:AlternateContent>
            </w:r>
            <w:r>
              <w:rPr>
                <w:b/>
                <w:color w:val="111313"/>
                <w:sz w:val="21"/>
              </w:rPr>
              <w:t>Talent</w:t>
            </w:r>
            <w:r>
              <w:rPr>
                <w:b/>
                <w:color w:val="111313"/>
                <w:spacing w:val="6"/>
                <w:sz w:val="21"/>
              </w:rPr>
              <w:t> </w:t>
            </w:r>
            <w:r>
              <w:rPr>
                <w:b/>
                <w:color w:val="111313"/>
                <w:spacing w:val="-2"/>
                <w:sz w:val="21"/>
              </w:rPr>
              <w:t>Management</w:t>
            </w:r>
          </w:p>
        </w:tc>
        <w:tc>
          <w:tcPr>
            <w:tcW w:w="1327" w:type="dxa"/>
            <w:tcBorders>
              <w:top w:val="single" w:sz="4" w:space="0" w:color="010202"/>
              <w:left w:val="single" w:sz="4" w:space="0" w:color="010202"/>
              <w:bottom w:val="single" w:sz="4" w:space="0" w:color="010202"/>
              <w:right w:val="single" w:sz="4" w:space="0" w:color="010202"/>
            </w:tcBorders>
            <w:shd w:val="clear" w:color="auto" w:fill="E5EDD4"/>
          </w:tcPr>
          <w:p>
            <w:pPr>
              <w:pStyle w:val="TableParagraph"/>
              <w:spacing w:before="120"/>
              <w:ind w:left="22"/>
              <w:jc w:val="center"/>
              <w:rPr>
                <w:sz w:val="21"/>
              </w:rPr>
            </w:pPr>
            <w:r>
              <w:rPr>
                <w:color w:val="111313"/>
                <w:spacing w:val="-2"/>
                <w:sz w:val="21"/>
              </w:rPr>
              <w:t>0.714</w:t>
            </w:r>
          </w:p>
        </w:tc>
        <w:tc>
          <w:tcPr>
            <w:tcW w:w="1312" w:type="dxa"/>
            <w:tcBorders>
              <w:top w:val="single" w:sz="4" w:space="0" w:color="010202"/>
              <w:left w:val="single" w:sz="4" w:space="0" w:color="010202"/>
              <w:bottom w:val="single" w:sz="4" w:space="0" w:color="010202"/>
              <w:right w:val="nil"/>
            </w:tcBorders>
            <w:shd w:val="clear" w:color="auto" w:fill="E5EDD4"/>
          </w:tcPr>
          <w:p>
            <w:pPr>
              <w:pStyle w:val="TableParagraph"/>
              <w:spacing w:before="120"/>
              <w:ind w:left="25"/>
              <w:jc w:val="center"/>
              <w:rPr>
                <w:sz w:val="21"/>
              </w:rPr>
            </w:pPr>
            <w:r>
              <w:rPr>
                <w:color w:val="111313"/>
                <w:spacing w:val="-2"/>
                <w:sz w:val="21"/>
              </w:rPr>
              <w:t>0</w:t>
            </w:r>
            <w:r>
              <w:rPr>
                <w:color w:val="3B383A"/>
                <w:spacing w:val="-2"/>
                <w:sz w:val="21"/>
              </w:rPr>
              <w:t>.</w:t>
            </w:r>
            <w:r>
              <w:rPr>
                <w:color w:val="111313"/>
                <w:spacing w:val="-2"/>
                <w:sz w:val="21"/>
              </w:rPr>
              <w:t>842</w:t>
            </w:r>
          </w:p>
        </w:tc>
        <w:tc>
          <w:tcPr>
            <w:tcW w:w="1346" w:type="dxa"/>
            <w:tcBorders>
              <w:top w:val="single" w:sz="4" w:space="0" w:color="010202"/>
              <w:left w:val="nil"/>
              <w:bottom w:val="single" w:sz="4" w:space="0" w:color="010202"/>
              <w:right w:val="nil"/>
            </w:tcBorders>
            <w:shd w:val="clear" w:color="auto" w:fill="E5EDD4"/>
          </w:tcPr>
          <w:p>
            <w:pPr>
              <w:pStyle w:val="TableParagraph"/>
              <w:spacing w:before="120"/>
              <w:ind w:left="29"/>
              <w:jc w:val="center"/>
              <w:rPr>
                <w:sz w:val="21"/>
              </w:rPr>
            </w:pPr>
            <w:r>
              <w:rPr>
                <w:color w:val="111313"/>
                <w:spacing w:val="-2"/>
                <w:sz w:val="21"/>
              </w:rPr>
              <w:t>0.840</w:t>
            </w:r>
          </w:p>
        </w:tc>
        <w:tc>
          <w:tcPr>
            <w:tcW w:w="1800" w:type="dxa"/>
            <w:tcBorders>
              <w:top w:val="single" w:sz="4" w:space="0" w:color="010202"/>
              <w:left w:val="nil"/>
              <w:bottom w:val="single" w:sz="4" w:space="0" w:color="010202"/>
              <w:right w:val="nil"/>
            </w:tcBorders>
            <w:shd w:val="clear" w:color="auto" w:fill="E5EDD4"/>
          </w:tcPr>
          <w:p>
            <w:pPr>
              <w:pStyle w:val="TableParagraph"/>
              <w:spacing w:before="125"/>
              <w:ind w:left="37"/>
              <w:jc w:val="center"/>
              <w:rPr>
                <w:sz w:val="21"/>
              </w:rPr>
            </w:pPr>
            <w:r>
              <w:rPr>
                <w:color w:val="111313"/>
                <w:spacing w:val="-2"/>
                <w:sz w:val="21"/>
              </w:rPr>
              <w:t>0.637</w:t>
            </w:r>
          </w:p>
        </w:tc>
      </w:tr>
      <w:tr>
        <w:trPr>
          <w:trHeight w:val="270" w:hRule="atLeast"/>
        </w:trPr>
        <w:tc>
          <w:tcPr>
            <w:tcW w:w="1096" w:type="dxa"/>
            <w:tcBorders>
              <w:top w:val="single" w:sz="4" w:space="0" w:color="010202"/>
              <w:left w:val="single" w:sz="4" w:space="0" w:color="010202"/>
              <w:bottom w:val="nil"/>
              <w:right w:val="nil"/>
            </w:tcBorders>
          </w:tcPr>
          <w:p>
            <w:pPr>
              <w:pStyle w:val="TableParagraph"/>
              <w:spacing w:before="5"/>
              <w:ind w:left="66" w:right="203"/>
              <w:jc w:val="center"/>
              <w:rPr>
                <w:sz w:val="21"/>
              </w:rPr>
            </w:pPr>
            <w:r>
              <w:rPr>
                <w:color w:val="111313"/>
                <w:sz w:val="21"/>
              </w:rPr>
              <w:t>TM</w:t>
            </w:r>
            <w:r>
              <w:rPr>
                <w:color w:val="111313"/>
                <w:spacing w:val="60"/>
                <w:sz w:val="21"/>
              </w:rPr>
              <w:t> </w:t>
            </w:r>
            <w:r>
              <w:rPr>
                <w:color w:val="111313"/>
                <w:spacing w:val="-12"/>
                <w:sz w:val="21"/>
              </w:rPr>
              <w:t>2</w:t>
            </w:r>
          </w:p>
        </w:tc>
        <w:tc>
          <w:tcPr>
            <w:tcW w:w="1081" w:type="dxa"/>
            <w:tcBorders>
              <w:top w:val="single" w:sz="4" w:space="0" w:color="010202"/>
              <w:left w:val="nil"/>
              <w:bottom w:val="nil"/>
              <w:right w:val="single" w:sz="4" w:space="0" w:color="010202"/>
            </w:tcBorders>
          </w:tcPr>
          <w:p>
            <w:pPr>
              <w:pStyle w:val="TableParagraph"/>
              <w:spacing w:before="5"/>
              <w:ind w:right="14"/>
              <w:jc w:val="center"/>
              <w:rPr>
                <w:sz w:val="21"/>
              </w:rPr>
            </w:pPr>
            <w:r>
              <w:rPr>
                <w:color w:val="111313"/>
                <w:spacing w:val="-2"/>
                <w:sz w:val="21"/>
              </w:rPr>
              <w:t>0.708</w:t>
            </w:r>
          </w:p>
        </w:tc>
        <w:tc>
          <w:tcPr>
            <w:tcW w:w="1327" w:type="dxa"/>
            <w:vMerge w:val="restart"/>
            <w:tcBorders>
              <w:top w:val="single" w:sz="4" w:space="0" w:color="010202"/>
              <w:left w:val="single" w:sz="4" w:space="0" w:color="010202"/>
              <w:bottom w:val="single" w:sz="4" w:space="0" w:color="010202"/>
              <w:right w:val="single" w:sz="4" w:space="0" w:color="010202"/>
            </w:tcBorders>
          </w:tcPr>
          <w:p>
            <w:pPr>
              <w:pStyle w:val="TableParagraph"/>
              <w:rPr>
                <w:sz w:val="20"/>
              </w:rPr>
            </w:pPr>
          </w:p>
        </w:tc>
        <w:tc>
          <w:tcPr>
            <w:tcW w:w="1312" w:type="dxa"/>
            <w:vMerge w:val="restart"/>
            <w:tcBorders>
              <w:top w:val="single" w:sz="4" w:space="0" w:color="010202"/>
              <w:left w:val="single" w:sz="4" w:space="0" w:color="010202"/>
              <w:bottom w:val="single" w:sz="4" w:space="0" w:color="010202"/>
              <w:right w:val="single" w:sz="4" w:space="0" w:color="010202"/>
            </w:tcBorders>
          </w:tcPr>
          <w:p>
            <w:pPr>
              <w:pStyle w:val="TableParagraph"/>
              <w:rPr>
                <w:sz w:val="20"/>
              </w:rPr>
            </w:pPr>
          </w:p>
        </w:tc>
        <w:tc>
          <w:tcPr>
            <w:tcW w:w="1346" w:type="dxa"/>
            <w:vMerge w:val="restart"/>
            <w:tcBorders>
              <w:top w:val="single" w:sz="4" w:space="0" w:color="010202"/>
              <w:left w:val="single" w:sz="4" w:space="0" w:color="010202"/>
              <w:bottom w:val="single" w:sz="4" w:space="0" w:color="010202"/>
              <w:right w:val="single" w:sz="4" w:space="0" w:color="010202"/>
            </w:tcBorders>
          </w:tcPr>
          <w:p>
            <w:pPr>
              <w:pStyle w:val="TableParagraph"/>
              <w:rPr>
                <w:sz w:val="20"/>
              </w:rPr>
            </w:pPr>
          </w:p>
        </w:tc>
        <w:tc>
          <w:tcPr>
            <w:tcW w:w="1800" w:type="dxa"/>
            <w:vMerge w:val="restart"/>
            <w:tcBorders>
              <w:top w:val="single" w:sz="4" w:space="0" w:color="010202"/>
              <w:left w:val="single" w:sz="4" w:space="0" w:color="010202"/>
              <w:bottom w:val="single" w:sz="4" w:space="0" w:color="010202"/>
              <w:right w:val="single" w:sz="4" w:space="0" w:color="010202"/>
            </w:tcBorders>
          </w:tcPr>
          <w:p>
            <w:pPr>
              <w:pStyle w:val="TableParagraph"/>
              <w:rPr>
                <w:sz w:val="20"/>
              </w:rPr>
            </w:pPr>
          </w:p>
        </w:tc>
      </w:tr>
      <w:tr>
        <w:trPr>
          <w:trHeight w:val="283" w:hRule="atLeast"/>
        </w:trPr>
        <w:tc>
          <w:tcPr>
            <w:tcW w:w="1096" w:type="dxa"/>
            <w:tcBorders>
              <w:top w:val="nil"/>
              <w:left w:val="single" w:sz="4" w:space="0" w:color="010202"/>
              <w:bottom w:val="nil"/>
              <w:right w:val="nil"/>
            </w:tcBorders>
          </w:tcPr>
          <w:p>
            <w:pPr>
              <w:pStyle w:val="TableParagraph"/>
              <w:spacing w:before="14"/>
              <w:ind w:left="71" w:right="203"/>
              <w:jc w:val="center"/>
              <w:rPr>
                <w:sz w:val="21"/>
              </w:rPr>
            </w:pPr>
            <w:r>
              <w:rPr>
                <w:color w:val="111313"/>
                <w:w w:val="105"/>
                <w:sz w:val="21"/>
              </w:rPr>
              <w:t>TM</w:t>
            </w:r>
            <w:r>
              <w:rPr>
                <w:color w:val="111313"/>
                <w:spacing w:val="37"/>
                <w:w w:val="105"/>
                <w:sz w:val="21"/>
              </w:rPr>
              <w:t> </w:t>
            </w:r>
            <w:r>
              <w:rPr>
                <w:color w:val="111313"/>
                <w:spacing w:val="-10"/>
                <w:w w:val="105"/>
                <w:sz w:val="21"/>
              </w:rPr>
              <w:t>4</w:t>
            </w:r>
          </w:p>
        </w:tc>
        <w:tc>
          <w:tcPr>
            <w:tcW w:w="1081" w:type="dxa"/>
            <w:tcBorders>
              <w:top w:val="nil"/>
              <w:left w:val="nil"/>
              <w:bottom w:val="nil"/>
              <w:right w:val="single" w:sz="4" w:space="0" w:color="010202"/>
            </w:tcBorders>
          </w:tcPr>
          <w:p>
            <w:pPr>
              <w:pStyle w:val="TableParagraph"/>
              <w:spacing w:before="19"/>
              <w:ind w:right="14"/>
              <w:jc w:val="center"/>
              <w:rPr>
                <w:sz w:val="21"/>
              </w:rPr>
            </w:pPr>
            <w:r>
              <w:rPr>
                <w:color w:val="111313"/>
                <w:spacing w:val="-2"/>
                <w:sz w:val="21"/>
              </w:rPr>
              <w:t>0.868</w:t>
            </w:r>
          </w:p>
        </w:tc>
        <w:tc>
          <w:tcPr>
            <w:tcW w:w="1327" w:type="dxa"/>
            <w:vMerge/>
            <w:tcBorders>
              <w:top w:val="nil"/>
              <w:left w:val="single" w:sz="4" w:space="0" w:color="010202"/>
              <w:bottom w:val="single" w:sz="4" w:space="0" w:color="010202"/>
              <w:right w:val="single" w:sz="4" w:space="0" w:color="010202"/>
            </w:tcBorders>
          </w:tcPr>
          <w:p>
            <w:pPr>
              <w:rPr>
                <w:sz w:val="2"/>
                <w:szCs w:val="2"/>
              </w:rPr>
            </w:pPr>
          </w:p>
        </w:tc>
        <w:tc>
          <w:tcPr>
            <w:tcW w:w="1312" w:type="dxa"/>
            <w:vMerge/>
            <w:tcBorders>
              <w:top w:val="nil"/>
              <w:left w:val="single" w:sz="4" w:space="0" w:color="010202"/>
              <w:bottom w:val="single" w:sz="4" w:space="0" w:color="010202"/>
              <w:right w:val="single" w:sz="4" w:space="0" w:color="010202"/>
            </w:tcBorders>
          </w:tcPr>
          <w:p>
            <w:pPr>
              <w:rPr>
                <w:sz w:val="2"/>
                <w:szCs w:val="2"/>
              </w:rPr>
            </w:pPr>
          </w:p>
        </w:tc>
        <w:tc>
          <w:tcPr>
            <w:tcW w:w="1346" w:type="dxa"/>
            <w:vMerge/>
            <w:tcBorders>
              <w:top w:val="nil"/>
              <w:left w:val="single" w:sz="4" w:space="0" w:color="010202"/>
              <w:bottom w:val="single" w:sz="4" w:space="0" w:color="010202"/>
              <w:right w:val="single" w:sz="4" w:space="0" w:color="010202"/>
            </w:tcBorders>
          </w:tcPr>
          <w:p>
            <w:pPr>
              <w:rPr>
                <w:sz w:val="2"/>
                <w:szCs w:val="2"/>
              </w:rPr>
            </w:pPr>
          </w:p>
        </w:tc>
        <w:tc>
          <w:tcPr>
            <w:tcW w:w="1800" w:type="dxa"/>
            <w:vMerge/>
            <w:tcBorders>
              <w:top w:val="nil"/>
              <w:left w:val="single" w:sz="4" w:space="0" w:color="010202"/>
              <w:bottom w:val="single" w:sz="4" w:space="0" w:color="010202"/>
              <w:right w:val="single" w:sz="4" w:space="0" w:color="010202"/>
            </w:tcBorders>
          </w:tcPr>
          <w:p>
            <w:pPr>
              <w:rPr>
                <w:sz w:val="2"/>
                <w:szCs w:val="2"/>
              </w:rPr>
            </w:pPr>
          </w:p>
        </w:tc>
      </w:tr>
      <w:tr>
        <w:trPr>
          <w:trHeight w:val="295" w:hRule="atLeast"/>
        </w:trPr>
        <w:tc>
          <w:tcPr>
            <w:tcW w:w="1096" w:type="dxa"/>
            <w:tcBorders>
              <w:top w:val="nil"/>
              <w:left w:val="single" w:sz="4" w:space="0" w:color="010202"/>
              <w:bottom w:val="single" w:sz="4" w:space="0" w:color="010202"/>
              <w:right w:val="nil"/>
            </w:tcBorders>
          </w:tcPr>
          <w:p>
            <w:pPr>
              <w:pStyle w:val="TableParagraph"/>
              <w:spacing w:before="14"/>
              <w:ind w:left="67" w:right="203"/>
              <w:jc w:val="center"/>
              <w:rPr>
                <w:sz w:val="21"/>
              </w:rPr>
            </w:pPr>
            <w:r>
              <w:rPr>
                <w:color w:val="111313"/>
                <w:sz w:val="21"/>
              </w:rPr>
              <w:t>TM</w:t>
            </w:r>
            <w:r>
              <w:rPr>
                <w:color w:val="111313"/>
                <w:spacing w:val="59"/>
                <w:sz w:val="21"/>
              </w:rPr>
              <w:t> </w:t>
            </w:r>
            <w:r>
              <w:rPr>
                <w:color w:val="111313"/>
                <w:spacing w:val="-10"/>
                <w:sz w:val="21"/>
              </w:rPr>
              <w:t>5</w:t>
            </w:r>
          </w:p>
        </w:tc>
        <w:tc>
          <w:tcPr>
            <w:tcW w:w="1081" w:type="dxa"/>
            <w:tcBorders>
              <w:top w:val="nil"/>
              <w:left w:val="nil"/>
              <w:bottom w:val="single" w:sz="4" w:space="0" w:color="010202"/>
              <w:right w:val="single" w:sz="4" w:space="0" w:color="010202"/>
            </w:tcBorders>
          </w:tcPr>
          <w:p>
            <w:pPr>
              <w:pStyle w:val="TableParagraph"/>
              <w:spacing w:before="14"/>
              <w:ind w:right="14"/>
              <w:jc w:val="center"/>
              <w:rPr>
                <w:sz w:val="21"/>
              </w:rPr>
            </w:pPr>
            <w:r>
              <w:rPr>
                <w:color w:val="111313"/>
                <w:spacing w:val="-2"/>
                <w:sz w:val="21"/>
              </w:rPr>
              <w:t>0.810</w:t>
            </w:r>
          </w:p>
        </w:tc>
        <w:tc>
          <w:tcPr>
            <w:tcW w:w="1327" w:type="dxa"/>
            <w:vMerge/>
            <w:tcBorders>
              <w:top w:val="nil"/>
              <w:left w:val="single" w:sz="4" w:space="0" w:color="010202"/>
              <w:bottom w:val="single" w:sz="4" w:space="0" w:color="010202"/>
              <w:right w:val="single" w:sz="4" w:space="0" w:color="010202"/>
            </w:tcBorders>
          </w:tcPr>
          <w:p>
            <w:pPr>
              <w:rPr>
                <w:sz w:val="2"/>
                <w:szCs w:val="2"/>
              </w:rPr>
            </w:pPr>
          </w:p>
        </w:tc>
        <w:tc>
          <w:tcPr>
            <w:tcW w:w="1312" w:type="dxa"/>
            <w:vMerge/>
            <w:tcBorders>
              <w:top w:val="nil"/>
              <w:left w:val="single" w:sz="4" w:space="0" w:color="010202"/>
              <w:bottom w:val="single" w:sz="4" w:space="0" w:color="010202"/>
              <w:right w:val="single" w:sz="4" w:space="0" w:color="010202"/>
            </w:tcBorders>
          </w:tcPr>
          <w:p>
            <w:pPr>
              <w:rPr>
                <w:sz w:val="2"/>
                <w:szCs w:val="2"/>
              </w:rPr>
            </w:pPr>
          </w:p>
        </w:tc>
        <w:tc>
          <w:tcPr>
            <w:tcW w:w="1346" w:type="dxa"/>
            <w:vMerge/>
            <w:tcBorders>
              <w:top w:val="nil"/>
              <w:left w:val="single" w:sz="4" w:space="0" w:color="010202"/>
              <w:bottom w:val="single" w:sz="4" w:space="0" w:color="010202"/>
              <w:right w:val="single" w:sz="4" w:space="0" w:color="010202"/>
            </w:tcBorders>
          </w:tcPr>
          <w:p>
            <w:pPr>
              <w:rPr>
                <w:sz w:val="2"/>
                <w:szCs w:val="2"/>
              </w:rPr>
            </w:pPr>
          </w:p>
        </w:tc>
        <w:tc>
          <w:tcPr>
            <w:tcW w:w="1800" w:type="dxa"/>
            <w:vMerge/>
            <w:tcBorders>
              <w:top w:val="nil"/>
              <w:left w:val="single" w:sz="4" w:space="0" w:color="010202"/>
              <w:bottom w:val="single" w:sz="4" w:space="0" w:color="010202"/>
              <w:right w:val="single" w:sz="4" w:space="0" w:color="010202"/>
            </w:tcBorders>
          </w:tcPr>
          <w:p>
            <w:pPr>
              <w:rPr>
                <w:sz w:val="2"/>
                <w:szCs w:val="2"/>
              </w:rPr>
            </w:pPr>
          </w:p>
        </w:tc>
      </w:tr>
    </w:tbl>
    <w:p>
      <w:pPr>
        <w:pStyle w:val="BodyText"/>
        <w:spacing w:line="290" w:lineRule="auto" w:before="79"/>
        <w:ind w:left="321" w:right="314" w:firstLine="1"/>
        <w:jc w:val="both"/>
      </w:pPr>
      <w:r>
        <w:rPr>
          <w:color w:val="111313"/>
        </w:rPr>
        <w:t>The constructs of Training &amp; Development (T&amp;D) and Employee Productivity (EP) exhibit strong reliability and convergent validity, as evidenced by their high factor loadings, Cronbach's alpha coefficients, composite reliability scores (rho_a and rho_c), and average variance</w:t>
      </w:r>
      <w:r>
        <w:rPr>
          <w:color w:val="111313"/>
          <w:spacing w:val="22"/>
        </w:rPr>
        <w:t> </w:t>
      </w:r>
      <w:r>
        <w:rPr>
          <w:color w:val="111313"/>
        </w:rPr>
        <w:t>extracted</w:t>
      </w:r>
      <w:r>
        <w:rPr>
          <w:color w:val="111313"/>
          <w:spacing w:val="24"/>
        </w:rPr>
        <w:t> </w:t>
      </w:r>
      <w:r>
        <w:rPr>
          <w:color w:val="111313"/>
        </w:rPr>
        <w:t>(AVE)</w:t>
      </w:r>
      <w:r>
        <w:rPr>
          <w:color w:val="111313"/>
          <w:spacing w:val="16"/>
        </w:rPr>
        <w:t> </w:t>
      </w:r>
      <w:r>
        <w:rPr>
          <w:color w:val="111313"/>
        </w:rPr>
        <w:t>values.</w:t>
      </w:r>
      <w:r>
        <w:rPr>
          <w:color w:val="111313"/>
          <w:spacing w:val="15"/>
        </w:rPr>
        <w:t> </w:t>
      </w:r>
      <w:r>
        <w:rPr>
          <w:color w:val="111313"/>
        </w:rPr>
        <w:t>The</w:t>
      </w:r>
      <w:r>
        <w:rPr>
          <w:color w:val="111313"/>
          <w:spacing w:val="18"/>
        </w:rPr>
        <w:t> </w:t>
      </w:r>
      <w:r>
        <w:rPr>
          <w:color w:val="111313"/>
        </w:rPr>
        <w:t>reliability</w:t>
      </w:r>
      <w:r>
        <w:rPr>
          <w:color w:val="111313"/>
          <w:spacing w:val="24"/>
        </w:rPr>
        <w:t> </w:t>
      </w:r>
      <w:r>
        <w:rPr>
          <w:color w:val="111313"/>
        </w:rPr>
        <w:t>coefficients</w:t>
      </w:r>
      <w:r>
        <w:rPr>
          <w:color w:val="111313"/>
          <w:spacing w:val="22"/>
        </w:rPr>
        <w:t> </w:t>
      </w:r>
      <w:r>
        <w:rPr>
          <w:color w:val="111313"/>
        </w:rPr>
        <w:t>for T&amp;D</w:t>
      </w:r>
      <w:r>
        <w:rPr>
          <w:color w:val="111313"/>
          <w:spacing w:val="14"/>
        </w:rPr>
        <w:t> </w:t>
      </w:r>
      <w:r>
        <w:rPr>
          <w:color w:val="111313"/>
        </w:rPr>
        <w:t>(a=</w:t>
      </w:r>
      <w:r>
        <w:rPr>
          <w:color w:val="111313"/>
          <w:spacing w:val="80"/>
        </w:rPr>
        <w:t> </w:t>
      </w:r>
      <w:r>
        <w:rPr>
          <w:color w:val="111313"/>
        </w:rPr>
        <w:t>0</w:t>
      </w:r>
      <w:r>
        <w:rPr>
          <w:color w:val="3B383A"/>
        </w:rPr>
        <w:t>.</w:t>
      </w:r>
      <w:r>
        <w:rPr>
          <w:color w:val="111313"/>
        </w:rPr>
        <w:t>833) and</w:t>
      </w:r>
      <w:r>
        <w:rPr>
          <w:color w:val="111313"/>
          <w:spacing w:val="16"/>
        </w:rPr>
        <w:t> </w:t>
      </w:r>
      <w:r>
        <w:rPr>
          <w:color w:val="111313"/>
        </w:rPr>
        <w:t>EP (a</w:t>
      </w:r>
    </w:p>
    <w:p>
      <w:pPr>
        <w:pStyle w:val="BodyText"/>
        <w:spacing w:line="292" w:lineRule="auto" w:before="4"/>
        <w:ind w:left="321" w:right="304" w:hanging="1"/>
        <w:jc w:val="both"/>
      </w:pPr>
      <w:r>
        <w:rPr>
          <w:color w:val="111313"/>
        </w:rPr>
        <w:t>=</w:t>
      </w:r>
      <w:r>
        <w:rPr>
          <w:color w:val="111313"/>
          <w:spacing w:val="-1"/>
        </w:rPr>
        <w:t> </w:t>
      </w:r>
      <w:r>
        <w:rPr>
          <w:color w:val="111313"/>
        </w:rPr>
        <w:t>0</w:t>
      </w:r>
      <w:r>
        <w:rPr>
          <w:color w:val="3B383A"/>
        </w:rPr>
        <w:t>.</w:t>
      </w:r>
      <w:r>
        <w:rPr>
          <w:color w:val="111313"/>
        </w:rPr>
        <w:t>850) exceed the commonly accepted threshold of 0</w:t>
      </w:r>
      <w:r>
        <w:rPr>
          <w:color w:val="3B383A"/>
        </w:rPr>
        <w:t>.</w:t>
      </w:r>
      <w:r>
        <w:rPr>
          <w:color w:val="111313"/>
        </w:rPr>
        <w:t>70</w:t>
      </w:r>
      <w:r>
        <w:rPr>
          <w:color w:val="3B383A"/>
        </w:rPr>
        <w:t>,</w:t>
      </w:r>
      <w:r>
        <w:rPr>
          <w:color w:val="3B383A"/>
          <w:spacing w:val="-5"/>
        </w:rPr>
        <w:t> </w:t>
      </w:r>
      <w:r>
        <w:rPr>
          <w:color w:val="111313"/>
        </w:rPr>
        <w:t>indicating the internal consistency of</w:t>
      </w:r>
      <w:r>
        <w:rPr>
          <w:color w:val="111313"/>
          <w:spacing w:val="-1"/>
        </w:rPr>
        <w:t> </w:t>
      </w:r>
      <w:r>
        <w:rPr>
          <w:color w:val="111313"/>
        </w:rPr>
        <w:t>the measurement scales (Nunnally, 1978)</w:t>
      </w:r>
      <w:r>
        <w:rPr>
          <w:color w:val="3B383A"/>
        </w:rPr>
        <w:t>.</w:t>
      </w:r>
      <w:r>
        <w:rPr>
          <w:color w:val="3B383A"/>
          <w:spacing w:val="-11"/>
        </w:rPr>
        <w:t> </w:t>
      </w:r>
      <w:r>
        <w:rPr>
          <w:color w:val="111313"/>
        </w:rPr>
        <w:t>Additionally, the composite reliability scores for T&amp;D (rho_a = 0.884, rho_c = 0.884) and EP (rho_a = 0.887, rho_c = 0.887) surpass the recommended cutoff of 0</w:t>
      </w:r>
      <w:r>
        <w:rPr>
          <w:color w:val="3B383A"/>
        </w:rPr>
        <w:t>.</w:t>
      </w:r>
      <w:r>
        <w:rPr>
          <w:color w:val="111313"/>
        </w:rPr>
        <w:t>70, further affirming the reliability of the constructs (Hair et al., 2017). Moreover, the high factor loadings for individual items within each construct demonstrate the</w:t>
      </w:r>
      <w:r>
        <w:rPr>
          <w:color w:val="111313"/>
          <w:spacing w:val="-1"/>
        </w:rPr>
        <w:t> </w:t>
      </w:r>
      <w:r>
        <w:rPr>
          <w:color w:val="111313"/>
        </w:rPr>
        <w:t>strength of their relationships with the latent variables. Regarding convergent validity, the average variance extracted</w:t>
      </w:r>
      <w:r>
        <w:rPr>
          <w:color w:val="111313"/>
          <w:spacing w:val="40"/>
        </w:rPr>
        <w:t> </w:t>
      </w:r>
      <w:r>
        <w:rPr>
          <w:color w:val="111313"/>
        </w:rPr>
        <w:t>for T&amp;D (AVE= 0.655) and EP (AVE= 0</w:t>
      </w:r>
      <w:r>
        <w:rPr>
          <w:color w:val="3B383A"/>
        </w:rPr>
        <w:t>.</w:t>
      </w:r>
      <w:r>
        <w:rPr>
          <w:color w:val="111313"/>
        </w:rPr>
        <w:t>612)</w:t>
      </w:r>
      <w:r>
        <w:rPr>
          <w:color w:val="111313"/>
          <w:spacing w:val="40"/>
        </w:rPr>
        <w:t> </w:t>
      </w:r>
      <w:r>
        <w:rPr>
          <w:color w:val="111313"/>
        </w:rPr>
        <w:t>exceeds</w:t>
      </w:r>
      <w:r>
        <w:rPr>
          <w:color w:val="111313"/>
          <w:spacing w:val="16"/>
        </w:rPr>
        <w:t> </w:t>
      </w:r>
      <w:r>
        <w:rPr>
          <w:color w:val="111313"/>
        </w:rPr>
        <w:t>the threshold</w:t>
      </w:r>
      <w:r>
        <w:rPr>
          <w:color w:val="111313"/>
          <w:spacing w:val="16"/>
        </w:rPr>
        <w:t> </w:t>
      </w:r>
      <w:r>
        <w:rPr>
          <w:color w:val="111313"/>
        </w:rPr>
        <w:t>of 0.50, indicating</w:t>
      </w:r>
      <w:r>
        <w:rPr>
          <w:color w:val="111313"/>
          <w:spacing w:val="16"/>
        </w:rPr>
        <w:t> </w:t>
      </w:r>
      <w:r>
        <w:rPr>
          <w:color w:val="111313"/>
        </w:rPr>
        <w:t>that more than 50% of the variance</w:t>
      </w:r>
      <w:r>
        <w:rPr>
          <w:color w:val="111313"/>
          <w:spacing w:val="18"/>
        </w:rPr>
        <w:t> </w:t>
      </w:r>
      <w:r>
        <w:rPr>
          <w:color w:val="111313"/>
        </w:rPr>
        <w:t>in the constructs is explained</w:t>
      </w:r>
      <w:r>
        <w:rPr>
          <w:color w:val="111313"/>
          <w:spacing w:val="23"/>
        </w:rPr>
        <w:t> </w:t>
      </w:r>
      <w:r>
        <w:rPr>
          <w:color w:val="111313"/>
        </w:rPr>
        <w:t>by their respective</w:t>
      </w:r>
      <w:r>
        <w:rPr>
          <w:color w:val="111313"/>
          <w:spacing w:val="28"/>
        </w:rPr>
        <w:t> </w:t>
      </w:r>
      <w:r>
        <w:rPr>
          <w:color w:val="111313"/>
        </w:rPr>
        <w:t>measurement</w:t>
      </w:r>
      <w:r>
        <w:rPr>
          <w:color w:val="111313"/>
          <w:spacing w:val="26"/>
        </w:rPr>
        <w:t> </w:t>
      </w:r>
      <w:r>
        <w:rPr>
          <w:color w:val="111313"/>
        </w:rPr>
        <w:t>items (Fornell</w:t>
      </w:r>
      <w:r>
        <w:rPr>
          <w:color w:val="111313"/>
          <w:spacing w:val="19"/>
        </w:rPr>
        <w:t> </w:t>
      </w:r>
      <w:r>
        <w:rPr>
          <w:color w:val="111313"/>
        </w:rPr>
        <w:t>&amp; Larcker,</w:t>
      </w:r>
      <w:r>
        <w:rPr>
          <w:color w:val="111313"/>
          <w:spacing w:val="19"/>
        </w:rPr>
        <w:t> </w:t>
      </w:r>
      <w:r>
        <w:rPr>
          <w:color w:val="111313"/>
        </w:rPr>
        <w:t>1981). This suggests</w:t>
      </w:r>
    </w:p>
    <w:p>
      <w:pPr>
        <w:pStyle w:val="BodyText"/>
      </w:pPr>
    </w:p>
    <w:p>
      <w:pPr>
        <w:pStyle w:val="BodyText"/>
      </w:pPr>
    </w:p>
    <w:p>
      <w:pPr>
        <w:pStyle w:val="BodyText"/>
      </w:pPr>
    </w:p>
    <w:p>
      <w:pPr>
        <w:pStyle w:val="BodyText"/>
        <w:spacing w:before="5"/>
      </w:pPr>
    </w:p>
    <w:p>
      <w:pPr>
        <w:spacing w:before="0"/>
        <w:ind w:left="859" w:right="823" w:firstLine="0"/>
        <w:jc w:val="center"/>
        <w:rPr>
          <w:sz w:val="17"/>
        </w:rPr>
      </w:pPr>
      <w:r>
        <w:rPr>
          <w:color w:val="3B383A"/>
          <w:spacing w:val="-5"/>
          <w:w w:val="110"/>
          <w:sz w:val="17"/>
        </w:rPr>
        <w:t>66</w:t>
      </w:r>
    </w:p>
    <w:p>
      <w:pPr>
        <w:spacing w:after="0"/>
        <w:jc w:val="center"/>
        <w:rPr>
          <w:sz w:val="17"/>
        </w:rPr>
        <w:sectPr>
          <w:type w:val="continuous"/>
          <w:pgSz w:w="11520" w:h="15120"/>
          <w:pgMar w:top="166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67" w:id="11"/>
      <w:bookmarkEnd w:id="11"/>
      <w:r>
        <w:rPr/>
      </w:r>
      <w:r>
        <w:rPr>
          <w:i/>
          <w:color w:val="3B3838"/>
          <w:sz w:val="18"/>
        </w:rPr>
        <w:t>Mahbub</w:t>
      </w:r>
      <w:r>
        <w:rPr>
          <w:i/>
          <w:color w:val="565454"/>
          <w:sz w:val="18"/>
        </w:rPr>
        <w:t>/</w:t>
      </w:r>
      <w:r>
        <w:rPr>
          <w:i/>
          <w:color w:val="3B3838"/>
          <w:sz w:val="18"/>
        </w:rPr>
        <w:t>Comilla</w:t>
      </w:r>
      <w:r>
        <w:rPr>
          <w:i/>
          <w:color w:val="3B3838"/>
          <w:spacing w:val="-12"/>
          <w:sz w:val="18"/>
        </w:rPr>
        <w:t> </w:t>
      </w:r>
      <w:r>
        <w:rPr>
          <w:i/>
          <w:color w:val="3B3838"/>
          <w:sz w:val="18"/>
        </w:rPr>
        <w:t>Un</w:t>
      </w:r>
      <w:r>
        <w:rPr>
          <w:i/>
          <w:color w:val="131313"/>
          <w:sz w:val="18"/>
        </w:rPr>
        <w:t>i</w:t>
      </w:r>
      <w:r>
        <w:rPr>
          <w:i/>
          <w:color w:val="3B3838"/>
          <w:sz w:val="18"/>
        </w:rPr>
        <w:t>versity</w:t>
      </w:r>
      <w:r>
        <w:rPr>
          <w:i/>
          <w:color w:val="3B3838"/>
          <w:spacing w:val="-11"/>
          <w:sz w:val="18"/>
        </w:rPr>
        <w:t> </w:t>
      </w:r>
      <w:r>
        <w:rPr>
          <w:i/>
          <w:color w:val="3B3838"/>
          <w:sz w:val="18"/>
        </w:rPr>
        <w:t>Journal</w:t>
      </w:r>
      <w:r>
        <w:rPr>
          <w:i/>
          <w:color w:val="3B3838"/>
          <w:spacing w:val="-3"/>
          <w:sz w:val="18"/>
        </w:rPr>
        <w:t> </w:t>
      </w:r>
      <w:r>
        <w:rPr>
          <w:i/>
          <w:color w:val="3B3838"/>
          <w:sz w:val="18"/>
        </w:rPr>
        <w:t>of</w:t>
      </w:r>
      <w:r>
        <w:rPr>
          <w:i/>
          <w:color w:val="3B3838"/>
          <w:spacing w:val="-4"/>
          <w:sz w:val="18"/>
        </w:rPr>
        <w:t> </w:t>
      </w:r>
      <w:r>
        <w:rPr>
          <w:i/>
          <w:color w:val="3B3838"/>
          <w:sz w:val="18"/>
        </w:rPr>
        <w:t>Business</w:t>
      </w:r>
      <w:r>
        <w:rPr>
          <w:i/>
          <w:color w:val="3B3838"/>
          <w:spacing w:val="-1"/>
          <w:sz w:val="18"/>
        </w:rPr>
        <w:t> </w:t>
      </w:r>
      <w:r>
        <w:rPr>
          <w:i/>
          <w:color w:val="3B3838"/>
          <w:sz w:val="18"/>
        </w:rPr>
        <w:t>Studies</w:t>
      </w:r>
      <w:r>
        <w:rPr>
          <w:i/>
          <w:color w:val="3B3838"/>
          <w:spacing w:val="53"/>
          <w:sz w:val="18"/>
        </w:rPr>
        <w:t> </w:t>
      </w:r>
      <w:r>
        <w:rPr>
          <w:i/>
          <w:color w:val="131313"/>
          <w:sz w:val="18"/>
        </w:rPr>
        <w:t>IO</w:t>
      </w:r>
      <w:r>
        <w:rPr>
          <w:i/>
          <w:color w:val="131313"/>
          <w:spacing w:val="-11"/>
          <w:sz w:val="18"/>
        </w:rPr>
        <w:t> </w:t>
      </w:r>
      <w:r>
        <w:rPr>
          <w:i/>
          <w:color w:val="3B3838"/>
          <w:sz w:val="18"/>
        </w:rPr>
        <w:t>(2023)</w:t>
      </w:r>
      <w:r>
        <w:rPr>
          <w:i/>
          <w:color w:val="3B3838"/>
          <w:spacing w:val="-7"/>
          <w:sz w:val="18"/>
        </w:rPr>
        <w:t> </w:t>
      </w:r>
      <w:r>
        <w:rPr>
          <w:i/>
          <w:color w:val="3B3838"/>
          <w:sz w:val="18"/>
        </w:rPr>
        <w:t>5</w:t>
      </w:r>
      <w:r>
        <w:rPr>
          <w:color w:val="3B3838"/>
          <w:sz w:val="17"/>
        </w:rPr>
        <w:t>7</w:t>
      </w:r>
      <w:r>
        <w:rPr>
          <w:color w:val="131313"/>
          <w:sz w:val="17"/>
        </w:rPr>
        <w:t>-</w:t>
      </w:r>
      <w:r>
        <w:rPr>
          <w:i/>
          <w:color w:val="3B3838"/>
          <w:spacing w:val="-7"/>
          <w:sz w:val="18"/>
        </w:rPr>
        <w:t>77</w:t>
      </w:r>
    </w:p>
    <w:p>
      <w:pPr>
        <w:pStyle w:val="BodyText"/>
        <w:spacing w:before="149"/>
        <w:rPr>
          <w:i/>
          <w:sz w:val="18"/>
        </w:rPr>
      </w:pPr>
    </w:p>
    <w:p>
      <w:pPr>
        <w:pStyle w:val="BodyText"/>
        <w:spacing w:line="290" w:lineRule="auto"/>
        <w:ind w:left="321" w:right="304" w:firstLine="5"/>
        <w:jc w:val="both"/>
      </w:pPr>
      <w:r>
        <w:rPr>
          <w:color w:val="131313"/>
        </w:rPr>
        <w:t>that the scales effectively capture the</w:t>
      </w:r>
      <w:r>
        <w:rPr>
          <w:color w:val="131313"/>
          <w:spacing w:val="-7"/>
        </w:rPr>
        <w:t> </w:t>
      </w:r>
      <w:r>
        <w:rPr>
          <w:color w:val="030505"/>
        </w:rPr>
        <w:t>underlying </w:t>
      </w:r>
      <w:r>
        <w:rPr>
          <w:color w:val="131313"/>
        </w:rPr>
        <w:t>dimensions of</w:t>
      </w:r>
      <w:r>
        <w:rPr>
          <w:color w:val="131313"/>
          <w:spacing w:val="-2"/>
        </w:rPr>
        <w:t> </w:t>
      </w:r>
      <w:r>
        <w:rPr>
          <w:color w:val="131313"/>
        </w:rPr>
        <w:t>T&amp;D and EP, supporting their convergent validity. Overall, the robust reliability and convergent validity</w:t>
      </w:r>
      <w:r>
        <w:rPr>
          <w:color w:val="131313"/>
          <w:spacing w:val="-2"/>
        </w:rPr>
        <w:t> </w:t>
      </w:r>
      <w:r>
        <w:rPr>
          <w:color w:val="131313"/>
        </w:rPr>
        <w:t>of the</w:t>
      </w:r>
      <w:r>
        <w:rPr>
          <w:color w:val="131313"/>
          <w:spacing w:val="-4"/>
        </w:rPr>
        <w:t> </w:t>
      </w:r>
      <w:r>
        <w:rPr>
          <w:color w:val="131313"/>
        </w:rPr>
        <w:t>T&amp;D and EP constructs provide confidence in their utility for investigating the mediating role of training motivation in enhancing employee productivity.</w:t>
      </w:r>
    </w:p>
    <w:p>
      <w:pPr>
        <w:pStyle w:val="ListParagraph"/>
        <w:numPr>
          <w:ilvl w:val="2"/>
          <w:numId w:val="1"/>
        </w:numPr>
        <w:tabs>
          <w:tab w:pos="799" w:val="left" w:leader="none"/>
        </w:tabs>
        <w:spacing w:line="240" w:lineRule="auto" w:before="110" w:after="0"/>
        <w:ind w:left="799" w:right="0" w:hanging="473"/>
        <w:jc w:val="both"/>
        <w:rPr>
          <w:i/>
          <w:color w:val="131313"/>
          <w:sz w:val="20"/>
        </w:rPr>
      </w:pPr>
      <w:r>
        <w:rPr>
          <w:i/>
          <w:color w:val="131313"/>
          <w:w w:val="105"/>
          <w:sz w:val="20"/>
        </w:rPr>
        <w:t>Discriminant</w:t>
      </w:r>
      <w:r>
        <w:rPr>
          <w:i/>
          <w:color w:val="131313"/>
          <w:spacing w:val="8"/>
          <w:w w:val="105"/>
          <w:sz w:val="20"/>
        </w:rPr>
        <w:t> </w:t>
      </w:r>
      <w:r>
        <w:rPr>
          <w:i/>
          <w:color w:val="131313"/>
          <w:spacing w:val="-2"/>
          <w:w w:val="105"/>
          <w:sz w:val="20"/>
        </w:rPr>
        <w:t>Validity</w:t>
      </w:r>
    </w:p>
    <w:p>
      <w:pPr>
        <w:pStyle w:val="BodyText"/>
        <w:spacing w:line="290" w:lineRule="auto" w:before="154"/>
        <w:ind w:left="321" w:right="303" w:firstLine="2"/>
        <w:jc w:val="both"/>
      </w:pPr>
      <w:r>
        <w:rPr>
          <w:color w:val="131313"/>
        </w:rPr>
        <w:t>In this study on training and development (T&amp;D), trammg motivation</w:t>
      </w:r>
      <w:r>
        <w:rPr>
          <w:color w:val="3B3838"/>
        </w:rPr>
        <w:t>, </w:t>
      </w:r>
      <w:r>
        <w:rPr>
          <w:color w:val="131313"/>
        </w:rPr>
        <w:t>and employee productivity, ensuring discriminant validity is a crucial step within the assessment of the measurement</w:t>
      </w:r>
      <w:r>
        <w:rPr>
          <w:color w:val="131313"/>
          <w:spacing w:val="40"/>
        </w:rPr>
        <w:t> </w:t>
      </w:r>
      <w:r>
        <w:rPr>
          <w:color w:val="131313"/>
        </w:rPr>
        <w:t>model (Hair et al.</w:t>
      </w:r>
      <w:r>
        <w:rPr>
          <w:color w:val="3B3838"/>
        </w:rPr>
        <w:t>, </w:t>
      </w:r>
      <w:r>
        <w:rPr>
          <w:color w:val="131313"/>
        </w:rPr>
        <w:t>2019). Discriminant</w:t>
      </w:r>
      <w:r>
        <w:rPr>
          <w:color w:val="131313"/>
          <w:spacing w:val="40"/>
        </w:rPr>
        <w:t> </w:t>
      </w:r>
      <w:r>
        <w:rPr>
          <w:color w:val="131313"/>
        </w:rPr>
        <w:t>validity goes beyond</w:t>
      </w:r>
      <w:r>
        <w:rPr>
          <w:color w:val="131313"/>
          <w:spacing w:val="40"/>
        </w:rPr>
        <w:t> </w:t>
      </w:r>
      <w:r>
        <w:rPr>
          <w:color w:val="131313"/>
        </w:rPr>
        <w:t>internal consistency and convergent validity by confirming that the constructs are distinct from each other. This can be achieved using two main methods (Fornell &amp; Larcker, 1981).</w:t>
      </w:r>
    </w:p>
    <w:p>
      <w:pPr>
        <w:spacing w:before="101"/>
        <w:ind w:left="2995" w:right="0" w:firstLine="0"/>
        <w:jc w:val="both"/>
        <w:rPr>
          <w:sz w:val="21"/>
        </w:rPr>
      </w:pPr>
      <w:r>
        <w:rPr>
          <w:b/>
          <w:color w:val="131313"/>
          <w:spacing w:val="-2"/>
          <w:w w:val="105"/>
          <w:sz w:val="20"/>
        </w:rPr>
        <w:t>Table</w:t>
      </w:r>
      <w:r>
        <w:rPr>
          <w:b/>
          <w:color w:val="131313"/>
          <w:spacing w:val="-5"/>
          <w:w w:val="105"/>
          <w:sz w:val="20"/>
        </w:rPr>
        <w:t> </w:t>
      </w:r>
      <w:r>
        <w:rPr>
          <w:b/>
          <w:color w:val="030505"/>
          <w:spacing w:val="-2"/>
          <w:w w:val="105"/>
          <w:sz w:val="20"/>
        </w:rPr>
        <w:t>2:</w:t>
      </w:r>
      <w:r>
        <w:rPr>
          <w:b/>
          <w:color w:val="030505"/>
          <w:spacing w:val="-6"/>
          <w:w w:val="105"/>
          <w:sz w:val="20"/>
        </w:rPr>
        <w:t> </w:t>
      </w:r>
      <w:r>
        <w:rPr>
          <w:color w:val="131313"/>
          <w:spacing w:val="-2"/>
          <w:w w:val="105"/>
          <w:sz w:val="21"/>
        </w:rPr>
        <w:t>Discriminant</w:t>
      </w:r>
      <w:r>
        <w:rPr>
          <w:color w:val="131313"/>
          <w:spacing w:val="-1"/>
          <w:w w:val="105"/>
          <w:sz w:val="21"/>
        </w:rPr>
        <w:t> </w:t>
      </w:r>
      <w:r>
        <w:rPr>
          <w:color w:val="131313"/>
          <w:spacing w:val="-2"/>
          <w:w w:val="105"/>
          <w:sz w:val="21"/>
        </w:rPr>
        <w:t>Validity</w:t>
      </w:r>
    </w:p>
    <w:p>
      <w:pPr>
        <w:pStyle w:val="BodyText"/>
        <w:spacing w:before="11"/>
        <w:rPr>
          <w:sz w:val="12"/>
        </w:rPr>
      </w:pPr>
      <w:r>
        <w:rPr>
          <w:sz w:val="12"/>
        </w:rPr>
        <mc:AlternateContent>
          <mc:Choice Requires="wps">
            <w:drawing>
              <wp:anchor distT="0" distB="0" distL="0" distR="0" allowOverlap="1" layoutInCell="1" locked="0" behindDoc="1" simplePos="0" relativeHeight="487589888">
                <wp:simplePos x="0" y="0"/>
                <wp:positionH relativeFrom="page">
                  <wp:posOffset>1943557</wp:posOffset>
                </wp:positionH>
                <wp:positionV relativeFrom="paragraph">
                  <wp:posOffset>109920</wp:posOffset>
                </wp:positionV>
                <wp:extent cx="3425190" cy="19050"/>
                <wp:effectExtent l="0" t="0" r="0" b="0"/>
                <wp:wrapTopAndBottom/>
                <wp:docPr id="9" name="Graphic 9"/>
                <wp:cNvGraphicFramePr>
                  <a:graphicFrameLocks/>
                </wp:cNvGraphicFramePr>
                <a:graphic>
                  <a:graphicData uri="http://schemas.microsoft.com/office/word/2010/wordprocessingShape">
                    <wps:wsp>
                      <wps:cNvPr id="9" name="Graphic 9"/>
                      <wps:cNvSpPr/>
                      <wps:spPr>
                        <a:xfrm>
                          <a:off x="0" y="0"/>
                          <a:ext cx="3425190" cy="19050"/>
                        </a:xfrm>
                        <a:custGeom>
                          <a:avLst/>
                          <a:gdLst/>
                          <a:ahLst/>
                          <a:cxnLst/>
                          <a:rect l="l" t="t" r="r" b="b"/>
                          <a:pathLst>
                            <a:path w="3425190" h="19050">
                              <a:moveTo>
                                <a:pt x="3424694" y="0"/>
                              </a:moveTo>
                              <a:lnTo>
                                <a:pt x="2854426" y="0"/>
                              </a:lnTo>
                              <a:lnTo>
                                <a:pt x="0" y="0"/>
                              </a:lnTo>
                              <a:lnTo>
                                <a:pt x="0" y="18745"/>
                              </a:lnTo>
                              <a:lnTo>
                                <a:pt x="2854426" y="18745"/>
                              </a:lnTo>
                              <a:lnTo>
                                <a:pt x="3424694" y="18745"/>
                              </a:lnTo>
                              <a:lnTo>
                                <a:pt x="3424694" y="0"/>
                              </a:lnTo>
                              <a:close/>
                            </a:path>
                          </a:pathLst>
                        </a:custGeom>
                        <a:solidFill>
                          <a:srgbClr val="010202"/>
                        </a:solidFill>
                      </wps:spPr>
                      <wps:bodyPr wrap="square" lIns="0" tIns="0" rIns="0" bIns="0" rtlCol="0">
                        <a:prstTxWarp prst="textNoShape">
                          <a:avLst/>
                        </a:prstTxWarp>
                        <a:noAutofit/>
                      </wps:bodyPr>
                    </wps:wsp>
                  </a:graphicData>
                </a:graphic>
              </wp:anchor>
            </w:drawing>
          </mc:Choice>
          <mc:Fallback>
            <w:pict>
              <v:shape style="position:absolute;margin-left:153.036011pt;margin-top:8.655153pt;width:269.7pt;height:1.5pt;mso-position-horizontal-relative:page;mso-position-vertical-relative:paragraph;z-index:-15726592;mso-wrap-distance-left:0;mso-wrap-distance-right:0" id="docshape9" coordorigin="3061,173" coordsize="5394,30" path="m8454,173l7556,173,3061,173,3061,203,7556,203,8454,203,8454,173xe" filled="true" fillcolor="#010202" stroked="false">
                <v:path arrowok="t"/>
                <v:fill type="solid"/>
                <w10:wrap type="topAndBottom"/>
              </v:shape>
            </w:pict>
          </mc:Fallback>
        </mc:AlternateContent>
      </w:r>
    </w:p>
    <w:p>
      <w:pPr>
        <w:tabs>
          <w:tab w:pos="5586" w:val="left" w:leader="none"/>
          <w:tab w:pos="6394" w:val="left" w:leader="none"/>
        </w:tabs>
        <w:spacing w:before="27"/>
        <w:ind w:left="4666" w:right="0" w:firstLine="0"/>
        <w:jc w:val="left"/>
        <w:rPr>
          <w:b/>
          <w:sz w:val="20"/>
        </w:rPr>
      </w:pPr>
      <w:r>
        <w:rPr>
          <w:b/>
          <w:color w:val="131313"/>
          <w:spacing w:val="-5"/>
          <w:w w:val="105"/>
          <w:sz w:val="20"/>
        </w:rPr>
        <w:t>EP</w:t>
      </w:r>
      <w:r>
        <w:rPr>
          <w:b/>
          <w:color w:val="131313"/>
          <w:sz w:val="20"/>
        </w:rPr>
        <w:tab/>
      </w:r>
      <w:r>
        <w:rPr>
          <w:b/>
          <w:color w:val="131313"/>
          <w:spacing w:val="-5"/>
          <w:w w:val="105"/>
          <w:sz w:val="20"/>
        </w:rPr>
        <w:t>TD</w:t>
      </w:r>
      <w:r>
        <w:rPr>
          <w:b/>
          <w:color w:val="131313"/>
          <w:sz w:val="20"/>
        </w:rPr>
        <w:tab/>
      </w:r>
      <w:r>
        <w:rPr>
          <w:b/>
          <w:color w:val="131313"/>
          <w:spacing w:val="-5"/>
          <w:w w:val="105"/>
          <w:sz w:val="20"/>
        </w:rPr>
        <w:t>TM</w:t>
      </w:r>
    </w:p>
    <w:p>
      <w:pPr>
        <w:pStyle w:val="BodyText"/>
        <w:tabs>
          <w:tab w:pos="5035" w:val="right" w:leader="none"/>
        </w:tabs>
        <w:spacing w:before="530"/>
        <w:ind w:left="1731"/>
      </w:pPr>
      <w:r>
        <w:rPr/>
        <mc:AlternateContent>
          <mc:Choice Requires="wps">
            <w:drawing>
              <wp:anchor distT="0" distB="0" distL="0" distR="0" allowOverlap="1" layoutInCell="1" locked="0" behindDoc="0" simplePos="0" relativeHeight="15731712">
                <wp:simplePos x="0" y="0"/>
                <wp:positionH relativeFrom="page">
                  <wp:posOffset>1943557</wp:posOffset>
                </wp:positionH>
                <wp:positionV relativeFrom="paragraph">
                  <wp:posOffset>71170</wp:posOffset>
                </wp:positionV>
                <wp:extent cx="3425190" cy="255270"/>
                <wp:effectExtent l="0" t="0" r="0" b="0"/>
                <wp:wrapNone/>
                <wp:docPr id="10" name="Group 10"/>
                <wp:cNvGraphicFramePr>
                  <a:graphicFrameLocks/>
                </wp:cNvGraphicFramePr>
                <a:graphic>
                  <a:graphicData uri="http://schemas.microsoft.com/office/word/2010/wordprocessingGroup">
                    <wpg:wgp>
                      <wpg:cNvPr id="10" name="Group 10"/>
                      <wpg:cNvGrpSpPr/>
                      <wpg:grpSpPr>
                        <a:xfrm>
                          <a:off x="0" y="0"/>
                          <a:ext cx="3425190" cy="255270"/>
                          <a:chExt cx="3425190" cy="255270"/>
                        </a:xfrm>
                      </wpg:grpSpPr>
                      <wps:wsp>
                        <wps:cNvPr id="11" name="Textbox 11"/>
                        <wps:cNvSpPr txBox="1"/>
                        <wps:spPr>
                          <a:xfrm>
                            <a:off x="67179" y="20314"/>
                            <a:ext cx="1522095" cy="234950"/>
                          </a:xfrm>
                          <a:prstGeom prst="rect">
                            <a:avLst/>
                          </a:prstGeom>
                          <a:solidFill>
                            <a:srgbClr val="D3DFED"/>
                          </a:solidFill>
                        </wps:spPr>
                        <wps:txbx>
                          <w:txbxContent>
                            <w:p>
                              <w:pPr>
                                <w:spacing w:before="11"/>
                                <w:ind w:left="7" w:right="0" w:firstLine="0"/>
                                <w:jc w:val="left"/>
                                <w:rPr>
                                  <w:color w:val="000000"/>
                                  <w:sz w:val="21"/>
                                </w:rPr>
                              </w:pPr>
                              <w:r>
                                <w:rPr>
                                  <w:color w:val="131313"/>
                                  <w:sz w:val="21"/>
                                </w:rPr>
                                <w:t>Employee</w:t>
                              </w:r>
                              <w:r>
                                <w:rPr>
                                  <w:color w:val="131313"/>
                                  <w:spacing w:val="3"/>
                                  <w:sz w:val="21"/>
                                </w:rPr>
                                <w:t> </w:t>
                              </w:r>
                              <w:r>
                                <w:rPr>
                                  <w:color w:val="131313"/>
                                  <w:spacing w:val="-2"/>
                                  <w:sz w:val="21"/>
                                </w:rPr>
                                <w:t>Productivity</w:t>
                              </w:r>
                            </w:p>
                          </w:txbxContent>
                        </wps:txbx>
                        <wps:bodyPr wrap="square" lIns="0" tIns="0" rIns="0" bIns="0" rtlCol="0">
                          <a:noAutofit/>
                        </wps:bodyPr>
                      </wps:wsp>
                      <wps:wsp>
                        <wps:cNvPr id="12" name="Graphic 12"/>
                        <wps:cNvSpPr/>
                        <wps:spPr>
                          <a:xfrm>
                            <a:off x="1656092" y="20322"/>
                            <a:ext cx="1769110" cy="234950"/>
                          </a:xfrm>
                          <a:custGeom>
                            <a:avLst/>
                            <a:gdLst/>
                            <a:ahLst/>
                            <a:cxnLst/>
                            <a:rect l="l" t="t" r="r" b="b"/>
                            <a:pathLst>
                              <a:path w="1769110" h="234950">
                                <a:moveTo>
                                  <a:pt x="1768602" y="0"/>
                                </a:moveTo>
                                <a:lnTo>
                                  <a:pt x="1181138" y="0"/>
                                </a:lnTo>
                                <a:lnTo>
                                  <a:pt x="717130" y="0"/>
                                </a:lnTo>
                                <a:lnTo>
                                  <a:pt x="0" y="0"/>
                                </a:lnTo>
                                <a:lnTo>
                                  <a:pt x="0" y="234353"/>
                                </a:lnTo>
                                <a:lnTo>
                                  <a:pt x="717130" y="234353"/>
                                </a:lnTo>
                                <a:lnTo>
                                  <a:pt x="1181138" y="234353"/>
                                </a:lnTo>
                                <a:lnTo>
                                  <a:pt x="1768602" y="234353"/>
                                </a:lnTo>
                                <a:lnTo>
                                  <a:pt x="1768602" y="0"/>
                                </a:lnTo>
                                <a:close/>
                              </a:path>
                            </a:pathLst>
                          </a:custGeom>
                          <a:solidFill>
                            <a:srgbClr val="D3DFED"/>
                          </a:solidFill>
                        </wps:spPr>
                        <wps:bodyPr wrap="square" lIns="0" tIns="0" rIns="0" bIns="0" rtlCol="0">
                          <a:prstTxWarp prst="textNoShape">
                            <a:avLst/>
                          </a:prstTxWarp>
                          <a:noAutofit/>
                        </wps:bodyPr>
                      </wps:wsp>
                      <pic:pic>
                        <pic:nvPicPr>
                          <pic:cNvPr id="13" name="Image 13"/>
                          <pic:cNvPicPr/>
                        </pic:nvPicPr>
                        <pic:blipFill>
                          <a:blip r:embed="rId6" cstate="print"/>
                          <a:stretch>
                            <a:fillRect/>
                          </a:stretch>
                        </pic:blipFill>
                        <pic:spPr>
                          <a:xfrm>
                            <a:off x="0" y="0"/>
                            <a:ext cx="3424694" cy="20314"/>
                          </a:xfrm>
                          <a:prstGeom prst="rect">
                            <a:avLst/>
                          </a:prstGeom>
                        </pic:spPr>
                      </pic:pic>
                    </wpg:wgp>
                  </a:graphicData>
                </a:graphic>
              </wp:anchor>
            </w:drawing>
          </mc:Choice>
          <mc:Fallback>
            <w:pict>
              <v:group style="position:absolute;margin-left:153.035995pt;margin-top:5.603977pt;width:269.7pt;height:20.1pt;mso-position-horizontal-relative:page;mso-position-vertical-relative:paragraph;z-index:15731712" id="docshapegroup10" coordorigin="3061,112" coordsize="5394,402">
                <v:shape style="position:absolute;left:3166;top:144;width:2397;height:370" type="#_x0000_t202" id="docshape11" filled="true" fillcolor="#d3dfed" stroked="false">
                  <v:textbox inset="0,0,0,0">
                    <w:txbxContent>
                      <w:p>
                        <w:pPr>
                          <w:spacing w:before="11"/>
                          <w:ind w:left="7" w:right="0" w:firstLine="0"/>
                          <w:jc w:val="left"/>
                          <w:rPr>
                            <w:color w:val="000000"/>
                            <w:sz w:val="21"/>
                          </w:rPr>
                        </w:pPr>
                        <w:r>
                          <w:rPr>
                            <w:color w:val="131313"/>
                            <w:sz w:val="21"/>
                          </w:rPr>
                          <w:t>Employee</w:t>
                        </w:r>
                        <w:r>
                          <w:rPr>
                            <w:color w:val="131313"/>
                            <w:spacing w:val="3"/>
                            <w:sz w:val="21"/>
                          </w:rPr>
                          <w:t> </w:t>
                        </w:r>
                        <w:r>
                          <w:rPr>
                            <w:color w:val="131313"/>
                            <w:spacing w:val="-2"/>
                            <w:sz w:val="21"/>
                          </w:rPr>
                          <w:t>Productivity</w:t>
                        </w:r>
                      </w:p>
                    </w:txbxContent>
                  </v:textbox>
                  <v:fill type="solid"/>
                  <w10:wrap type="none"/>
                </v:shape>
                <v:shape style="position:absolute;left:5668;top:144;width:2786;height:370" id="docshape12" coordorigin="5669,144" coordsize="2786,370" path="m8454,144l7529,144,6798,144,5669,144,5669,513,6798,513,7529,513,8454,513,8454,144xe" filled="true" fillcolor="#d3dfed" stroked="false">
                  <v:path arrowok="t"/>
                  <v:fill type="solid"/>
                </v:shape>
                <v:shape style="position:absolute;left:3060;top:112;width:5394;height:32" type="#_x0000_t75" id="docshape13" stroked="false">
                  <v:imagedata r:id="rId6" o:title=""/>
                </v:shape>
                <w10:wrap type="none"/>
              </v:group>
            </w:pict>
          </mc:Fallback>
        </mc:AlternateContent>
      </w:r>
      <w:r>
        <w:rPr>
          <w:color w:val="131313"/>
        </w:rPr>
        <w:t>Training</w:t>
      </w:r>
      <w:r>
        <w:rPr>
          <w:color w:val="131313"/>
          <w:spacing w:val="10"/>
        </w:rPr>
        <w:t> </w:t>
      </w:r>
      <w:r>
        <w:rPr>
          <w:color w:val="131313"/>
        </w:rPr>
        <w:t>&amp;</w:t>
      </w:r>
      <w:r>
        <w:rPr>
          <w:color w:val="131313"/>
          <w:spacing w:val="-1"/>
        </w:rPr>
        <w:t> </w:t>
      </w:r>
      <w:r>
        <w:rPr>
          <w:color w:val="131313"/>
          <w:spacing w:val="-2"/>
        </w:rPr>
        <w:t>Development</w:t>
      </w:r>
      <w:r>
        <w:rPr>
          <w:color w:val="131313"/>
        </w:rPr>
        <w:tab/>
      </w:r>
      <w:r>
        <w:rPr>
          <w:color w:val="131313"/>
          <w:spacing w:val="-2"/>
        </w:rPr>
        <w:t>0.695</w:t>
      </w:r>
    </w:p>
    <w:p>
      <w:pPr>
        <w:pStyle w:val="BodyText"/>
        <w:spacing w:before="8"/>
        <w:rPr>
          <w:sz w:val="7"/>
        </w:rPr>
      </w:pPr>
      <w:r>
        <w:rPr>
          <w:sz w:val="7"/>
        </w:rPr>
        <mc:AlternateContent>
          <mc:Choice Requires="wps">
            <w:drawing>
              <wp:anchor distT="0" distB="0" distL="0" distR="0" allowOverlap="1" layoutInCell="1" locked="0" behindDoc="1" simplePos="0" relativeHeight="487590400">
                <wp:simplePos x="0" y="0"/>
                <wp:positionH relativeFrom="page">
                  <wp:posOffset>1935745</wp:posOffset>
                </wp:positionH>
                <wp:positionV relativeFrom="paragraph">
                  <wp:posOffset>71862</wp:posOffset>
                </wp:positionV>
                <wp:extent cx="3432810" cy="253365"/>
                <wp:effectExtent l="0" t="0" r="0" b="0"/>
                <wp:wrapTopAndBottom/>
                <wp:docPr id="14" name="Group 14"/>
                <wp:cNvGraphicFramePr>
                  <a:graphicFrameLocks/>
                </wp:cNvGraphicFramePr>
                <a:graphic>
                  <a:graphicData uri="http://schemas.microsoft.com/office/word/2010/wordprocessingGroup">
                    <wpg:wgp>
                      <wpg:cNvPr id="14" name="Group 14"/>
                      <wpg:cNvGrpSpPr/>
                      <wpg:grpSpPr>
                        <a:xfrm>
                          <a:off x="0" y="0"/>
                          <a:ext cx="3432810" cy="253365"/>
                          <a:chExt cx="3432810" cy="253365"/>
                        </a:xfrm>
                      </wpg:grpSpPr>
                      <wps:wsp>
                        <wps:cNvPr id="15" name="Textbox 15"/>
                        <wps:cNvSpPr txBox="1"/>
                        <wps:spPr>
                          <a:xfrm>
                            <a:off x="7811" y="0"/>
                            <a:ext cx="1656714" cy="234950"/>
                          </a:xfrm>
                          <a:prstGeom prst="rect">
                            <a:avLst/>
                          </a:prstGeom>
                          <a:solidFill>
                            <a:srgbClr val="D3DFED"/>
                          </a:solidFill>
                        </wps:spPr>
                        <wps:txbx>
                          <w:txbxContent>
                            <w:p>
                              <w:pPr>
                                <w:spacing w:before="15"/>
                                <w:ind w:left="111" w:right="0" w:firstLine="0"/>
                                <w:jc w:val="left"/>
                                <w:rPr>
                                  <w:color w:val="000000"/>
                                  <w:sz w:val="21"/>
                                </w:rPr>
                              </w:pPr>
                              <w:r>
                                <w:rPr>
                                  <w:color w:val="131313"/>
                                  <w:sz w:val="21"/>
                                </w:rPr>
                                <w:t>Training</w:t>
                              </w:r>
                              <w:r>
                                <w:rPr>
                                  <w:color w:val="131313"/>
                                  <w:spacing w:val="10"/>
                                  <w:sz w:val="21"/>
                                </w:rPr>
                                <w:t> </w:t>
                              </w:r>
                              <w:r>
                                <w:rPr>
                                  <w:color w:val="131313"/>
                                  <w:spacing w:val="-2"/>
                                  <w:sz w:val="21"/>
                                </w:rPr>
                                <w:t>Motivation</w:t>
                              </w:r>
                            </w:p>
                          </w:txbxContent>
                        </wps:txbx>
                        <wps:bodyPr wrap="square" lIns="0" tIns="0" rIns="0" bIns="0" rtlCol="0">
                          <a:noAutofit/>
                        </wps:bodyPr>
                      </wps:wsp>
                      <wps:wsp>
                        <wps:cNvPr id="16" name="Textbox 16"/>
                        <wps:cNvSpPr txBox="1"/>
                        <wps:spPr>
                          <a:xfrm>
                            <a:off x="1729529" y="0"/>
                            <a:ext cx="586105" cy="234950"/>
                          </a:xfrm>
                          <a:prstGeom prst="rect">
                            <a:avLst/>
                          </a:prstGeom>
                          <a:solidFill>
                            <a:srgbClr val="D3DFED"/>
                          </a:solidFill>
                        </wps:spPr>
                        <wps:txbx>
                          <w:txbxContent>
                            <w:p>
                              <w:pPr>
                                <w:spacing w:before="15"/>
                                <w:ind w:left="230" w:right="0" w:firstLine="0"/>
                                <w:jc w:val="left"/>
                                <w:rPr>
                                  <w:color w:val="000000"/>
                                  <w:sz w:val="21"/>
                                </w:rPr>
                              </w:pPr>
                              <w:r>
                                <w:rPr>
                                  <w:color w:val="131313"/>
                                  <w:spacing w:val="-2"/>
                                  <w:sz w:val="21"/>
                                </w:rPr>
                                <w:t>0.193</w:t>
                              </w:r>
                            </w:p>
                          </w:txbxContent>
                        </wps:txbx>
                        <wps:bodyPr wrap="square" lIns="0" tIns="0" rIns="0" bIns="0" rtlCol="0">
                          <a:noAutofit/>
                        </wps:bodyPr>
                      </wps:wsp>
                      <wps:wsp>
                        <wps:cNvPr id="17" name="Graphic 17"/>
                        <wps:cNvSpPr/>
                        <wps:spPr>
                          <a:xfrm>
                            <a:off x="2381035" y="8"/>
                            <a:ext cx="464184" cy="234950"/>
                          </a:xfrm>
                          <a:custGeom>
                            <a:avLst/>
                            <a:gdLst/>
                            <a:ahLst/>
                            <a:cxnLst/>
                            <a:rect l="l" t="t" r="r" b="b"/>
                            <a:pathLst>
                              <a:path w="464184" h="234950">
                                <a:moveTo>
                                  <a:pt x="464007" y="0"/>
                                </a:moveTo>
                                <a:lnTo>
                                  <a:pt x="396836" y="0"/>
                                </a:lnTo>
                                <a:lnTo>
                                  <a:pt x="65608" y="0"/>
                                </a:lnTo>
                                <a:lnTo>
                                  <a:pt x="0" y="0"/>
                                </a:lnTo>
                                <a:lnTo>
                                  <a:pt x="0" y="234353"/>
                                </a:lnTo>
                                <a:lnTo>
                                  <a:pt x="65608" y="234353"/>
                                </a:lnTo>
                                <a:lnTo>
                                  <a:pt x="396836" y="234353"/>
                                </a:lnTo>
                                <a:lnTo>
                                  <a:pt x="464007" y="234353"/>
                                </a:lnTo>
                                <a:lnTo>
                                  <a:pt x="464007" y="0"/>
                                </a:lnTo>
                                <a:close/>
                              </a:path>
                            </a:pathLst>
                          </a:custGeom>
                          <a:solidFill>
                            <a:srgbClr val="D3DFED"/>
                          </a:solidFill>
                        </wps:spPr>
                        <wps:bodyPr wrap="square" lIns="0" tIns="0" rIns="0" bIns="0" rtlCol="0">
                          <a:prstTxWarp prst="textNoShape">
                            <a:avLst/>
                          </a:prstTxWarp>
                          <a:noAutofit/>
                        </wps:bodyPr>
                      </wps:wsp>
                      <wps:wsp>
                        <wps:cNvPr id="18" name="Graphic 18"/>
                        <wps:cNvSpPr/>
                        <wps:spPr>
                          <a:xfrm>
                            <a:off x="2465683" y="54004"/>
                            <a:ext cx="292735" cy="93345"/>
                          </a:xfrm>
                          <a:custGeom>
                            <a:avLst/>
                            <a:gdLst/>
                            <a:ahLst/>
                            <a:cxnLst/>
                            <a:rect l="l" t="t" r="r" b="b"/>
                            <a:pathLst>
                              <a:path w="292735" h="93345">
                                <a:moveTo>
                                  <a:pt x="35931" y="0"/>
                                </a:moveTo>
                                <a:lnTo>
                                  <a:pt x="24846" y="0"/>
                                </a:lnTo>
                                <a:lnTo>
                                  <a:pt x="20757" y="1428"/>
                                </a:lnTo>
                                <a:lnTo>
                                  <a:pt x="16700" y="4352"/>
                                </a:lnTo>
                                <a:lnTo>
                                  <a:pt x="11699" y="7894"/>
                                </a:lnTo>
                                <a:lnTo>
                                  <a:pt x="0" y="48751"/>
                                </a:lnTo>
                                <a:lnTo>
                                  <a:pt x="363" y="55743"/>
                                </a:lnTo>
                                <a:lnTo>
                                  <a:pt x="22278" y="91932"/>
                                </a:lnTo>
                                <a:lnTo>
                                  <a:pt x="28411" y="92876"/>
                                </a:lnTo>
                                <a:lnTo>
                                  <a:pt x="32720" y="92876"/>
                                </a:lnTo>
                                <a:lnTo>
                                  <a:pt x="37194" y="91238"/>
                                </a:lnTo>
                                <a:lnTo>
                                  <a:pt x="40760" y="88722"/>
                                </a:lnTo>
                                <a:lnTo>
                                  <a:pt x="23637" y="88722"/>
                                </a:lnTo>
                                <a:lnTo>
                                  <a:pt x="19901" y="85445"/>
                                </a:lnTo>
                                <a:lnTo>
                                  <a:pt x="12947" y="39713"/>
                                </a:lnTo>
                                <a:lnTo>
                                  <a:pt x="13416" y="33422"/>
                                </a:lnTo>
                                <a:lnTo>
                                  <a:pt x="15702" y="17766"/>
                                </a:lnTo>
                                <a:lnTo>
                                  <a:pt x="17785" y="12222"/>
                                </a:lnTo>
                                <a:lnTo>
                                  <a:pt x="17859" y="12026"/>
                                </a:lnTo>
                                <a:lnTo>
                                  <a:pt x="23353" y="5694"/>
                                </a:lnTo>
                                <a:lnTo>
                                  <a:pt x="26013" y="4352"/>
                                </a:lnTo>
                                <a:lnTo>
                                  <a:pt x="42755" y="4352"/>
                                </a:lnTo>
                                <a:lnTo>
                                  <a:pt x="42086" y="3495"/>
                                </a:lnTo>
                                <a:lnTo>
                                  <a:pt x="35931" y="0"/>
                                </a:lnTo>
                                <a:close/>
                              </a:path>
                              <a:path w="292735" h="93345">
                                <a:moveTo>
                                  <a:pt x="42755" y="4352"/>
                                </a:moveTo>
                                <a:lnTo>
                                  <a:pt x="31553" y="4352"/>
                                </a:lnTo>
                                <a:lnTo>
                                  <a:pt x="33735" y="5080"/>
                                </a:lnTo>
                                <a:lnTo>
                                  <a:pt x="35534" y="6530"/>
                                </a:lnTo>
                                <a:lnTo>
                                  <a:pt x="38040" y="8639"/>
                                </a:lnTo>
                                <a:lnTo>
                                  <a:pt x="39973" y="12026"/>
                                </a:lnTo>
                                <a:lnTo>
                                  <a:pt x="40085" y="12222"/>
                                </a:lnTo>
                                <a:lnTo>
                                  <a:pt x="41670" y="17283"/>
                                </a:lnTo>
                                <a:lnTo>
                                  <a:pt x="43055" y="22711"/>
                                </a:lnTo>
                                <a:lnTo>
                                  <a:pt x="44045" y="28775"/>
                                </a:lnTo>
                                <a:lnTo>
                                  <a:pt x="44612" y="35174"/>
                                </a:lnTo>
                                <a:lnTo>
                                  <a:pt x="44605" y="53204"/>
                                </a:lnTo>
                                <a:lnTo>
                                  <a:pt x="40586" y="79419"/>
                                </a:lnTo>
                                <a:lnTo>
                                  <a:pt x="40481" y="79815"/>
                                </a:lnTo>
                                <a:lnTo>
                                  <a:pt x="38548" y="83390"/>
                                </a:lnTo>
                                <a:lnTo>
                                  <a:pt x="33447" y="87656"/>
                                </a:lnTo>
                                <a:lnTo>
                                  <a:pt x="30982" y="88722"/>
                                </a:lnTo>
                                <a:lnTo>
                                  <a:pt x="40760" y="88722"/>
                                </a:lnTo>
                                <a:lnTo>
                                  <a:pt x="57484" y="53204"/>
                                </a:lnTo>
                                <a:lnTo>
                                  <a:pt x="57765" y="45712"/>
                                </a:lnTo>
                                <a:lnTo>
                                  <a:pt x="57144" y="35475"/>
                                </a:lnTo>
                                <a:lnTo>
                                  <a:pt x="57126" y="35174"/>
                                </a:lnTo>
                                <a:lnTo>
                                  <a:pt x="55210" y="25791"/>
                                </a:lnTo>
                                <a:lnTo>
                                  <a:pt x="52094" y="17766"/>
                                </a:lnTo>
                                <a:lnTo>
                                  <a:pt x="52015" y="17561"/>
                                </a:lnTo>
                                <a:lnTo>
                                  <a:pt x="47541" y="10486"/>
                                </a:lnTo>
                                <a:lnTo>
                                  <a:pt x="42755" y="4352"/>
                                </a:lnTo>
                                <a:close/>
                              </a:path>
                              <a:path w="292735" h="93345">
                                <a:moveTo>
                                  <a:pt x="82886" y="78497"/>
                                </a:moveTo>
                                <a:lnTo>
                                  <a:pt x="78796" y="78497"/>
                                </a:lnTo>
                                <a:lnTo>
                                  <a:pt x="77061" y="79211"/>
                                </a:lnTo>
                                <a:lnTo>
                                  <a:pt x="74190" y="82072"/>
                                </a:lnTo>
                                <a:lnTo>
                                  <a:pt x="73497" y="83797"/>
                                </a:lnTo>
                                <a:lnTo>
                                  <a:pt x="73497" y="87843"/>
                                </a:lnTo>
                                <a:lnTo>
                                  <a:pt x="74214" y="89568"/>
                                </a:lnTo>
                                <a:lnTo>
                                  <a:pt x="77072" y="92426"/>
                                </a:lnTo>
                                <a:lnTo>
                                  <a:pt x="78796" y="93139"/>
                                </a:lnTo>
                                <a:lnTo>
                                  <a:pt x="82843" y="93139"/>
                                </a:lnTo>
                                <a:lnTo>
                                  <a:pt x="84567" y="92426"/>
                                </a:lnTo>
                                <a:lnTo>
                                  <a:pt x="87425" y="89568"/>
                                </a:lnTo>
                                <a:lnTo>
                                  <a:pt x="88142" y="87843"/>
                                </a:lnTo>
                                <a:lnTo>
                                  <a:pt x="88142" y="83797"/>
                                </a:lnTo>
                                <a:lnTo>
                                  <a:pt x="87437" y="82072"/>
                                </a:lnTo>
                                <a:lnTo>
                                  <a:pt x="84621" y="79211"/>
                                </a:lnTo>
                                <a:lnTo>
                                  <a:pt x="82886" y="78497"/>
                                </a:lnTo>
                                <a:close/>
                              </a:path>
                              <a:path w="292735" h="93345">
                                <a:moveTo>
                                  <a:pt x="147416" y="88851"/>
                                </a:moveTo>
                                <a:lnTo>
                                  <a:pt x="113774" y="88851"/>
                                </a:lnTo>
                                <a:lnTo>
                                  <a:pt x="113774" y="91296"/>
                                </a:lnTo>
                                <a:lnTo>
                                  <a:pt x="147416" y="91296"/>
                                </a:lnTo>
                                <a:lnTo>
                                  <a:pt x="147416" y="88851"/>
                                </a:lnTo>
                                <a:close/>
                              </a:path>
                              <a:path w="292735" h="93345">
                                <a:moveTo>
                                  <a:pt x="136134" y="10615"/>
                                </a:moveTo>
                                <a:lnTo>
                                  <a:pt x="121117" y="10615"/>
                                </a:lnTo>
                                <a:lnTo>
                                  <a:pt x="122096" y="10951"/>
                                </a:lnTo>
                                <a:lnTo>
                                  <a:pt x="123725" y="12268"/>
                                </a:lnTo>
                                <a:lnTo>
                                  <a:pt x="124282" y="13301"/>
                                </a:lnTo>
                                <a:lnTo>
                                  <a:pt x="124592" y="14705"/>
                                </a:lnTo>
                                <a:lnTo>
                                  <a:pt x="125031" y="16553"/>
                                </a:lnTo>
                                <a:lnTo>
                                  <a:pt x="125251" y="20732"/>
                                </a:lnTo>
                                <a:lnTo>
                                  <a:pt x="125251" y="80895"/>
                                </a:lnTo>
                                <a:lnTo>
                                  <a:pt x="117344" y="88851"/>
                                </a:lnTo>
                                <a:lnTo>
                                  <a:pt x="143994" y="88851"/>
                                </a:lnTo>
                                <a:lnTo>
                                  <a:pt x="136158" y="80895"/>
                                </a:lnTo>
                                <a:lnTo>
                                  <a:pt x="136134" y="10615"/>
                                </a:lnTo>
                                <a:close/>
                              </a:path>
                              <a:path w="292735" h="93345">
                                <a:moveTo>
                                  <a:pt x="136134" y="0"/>
                                </a:moveTo>
                                <a:lnTo>
                                  <a:pt x="133956" y="0"/>
                                </a:lnTo>
                                <a:lnTo>
                                  <a:pt x="112190" y="10615"/>
                                </a:lnTo>
                                <a:lnTo>
                                  <a:pt x="113180" y="12664"/>
                                </a:lnTo>
                                <a:lnTo>
                                  <a:pt x="116085" y="11300"/>
                                </a:lnTo>
                                <a:lnTo>
                                  <a:pt x="118346" y="10615"/>
                                </a:lnTo>
                                <a:lnTo>
                                  <a:pt x="136134" y="10615"/>
                                </a:lnTo>
                                <a:lnTo>
                                  <a:pt x="136134" y="0"/>
                                </a:lnTo>
                                <a:close/>
                              </a:path>
                              <a:path w="292735" h="93345">
                                <a:moveTo>
                                  <a:pt x="216314" y="10090"/>
                                </a:moveTo>
                                <a:lnTo>
                                  <a:pt x="196250" y="10090"/>
                                </a:lnTo>
                                <a:lnTo>
                                  <a:pt x="200408" y="11912"/>
                                </a:lnTo>
                                <a:lnTo>
                                  <a:pt x="207355" y="19216"/>
                                </a:lnTo>
                                <a:lnTo>
                                  <a:pt x="209095" y="23878"/>
                                </a:lnTo>
                                <a:lnTo>
                                  <a:pt x="209095" y="29552"/>
                                </a:lnTo>
                                <a:lnTo>
                                  <a:pt x="186649" y="69555"/>
                                </a:lnTo>
                                <a:lnTo>
                                  <a:pt x="166813" y="88851"/>
                                </a:lnTo>
                                <a:lnTo>
                                  <a:pt x="166813" y="91296"/>
                                </a:lnTo>
                                <a:lnTo>
                                  <a:pt x="219582" y="91296"/>
                                </a:lnTo>
                                <a:lnTo>
                                  <a:pt x="223207" y="81334"/>
                                </a:lnTo>
                                <a:lnTo>
                                  <a:pt x="180859" y="81334"/>
                                </a:lnTo>
                                <a:lnTo>
                                  <a:pt x="183553" y="78716"/>
                                </a:lnTo>
                                <a:lnTo>
                                  <a:pt x="210806" y="48070"/>
                                </a:lnTo>
                                <a:lnTo>
                                  <a:pt x="220373" y="28011"/>
                                </a:lnTo>
                                <a:lnTo>
                                  <a:pt x="220373" y="17150"/>
                                </a:lnTo>
                                <a:lnTo>
                                  <a:pt x="218058" y="11912"/>
                                </a:lnTo>
                                <a:lnTo>
                                  <a:pt x="217943" y="11653"/>
                                </a:lnTo>
                                <a:lnTo>
                                  <a:pt x="216314" y="10090"/>
                                </a:lnTo>
                                <a:close/>
                              </a:path>
                              <a:path w="292735" h="93345">
                                <a:moveTo>
                                  <a:pt x="225848" y="74078"/>
                                </a:moveTo>
                                <a:lnTo>
                                  <a:pt x="223407" y="74078"/>
                                </a:lnTo>
                                <a:lnTo>
                                  <a:pt x="222264" y="76056"/>
                                </a:lnTo>
                                <a:lnTo>
                                  <a:pt x="220924" y="77583"/>
                                </a:lnTo>
                                <a:lnTo>
                                  <a:pt x="217847" y="79739"/>
                                </a:lnTo>
                                <a:lnTo>
                                  <a:pt x="216118" y="80453"/>
                                </a:lnTo>
                                <a:lnTo>
                                  <a:pt x="212296" y="81158"/>
                                </a:lnTo>
                                <a:lnTo>
                                  <a:pt x="208962" y="81334"/>
                                </a:lnTo>
                                <a:lnTo>
                                  <a:pt x="223207" y="81334"/>
                                </a:lnTo>
                                <a:lnTo>
                                  <a:pt x="225848" y="74078"/>
                                </a:lnTo>
                                <a:close/>
                              </a:path>
                              <a:path w="292735" h="93345">
                                <a:moveTo>
                                  <a:pt x="202169" y="0"/>
                                </a:moveTo>
                                <a:lnTo>
                                  <a:pt x="188096" y="0"/>
                                </a:lnTo>
                                <a:lnTo>
                                  <a:pt x="182411" y="2174"/>
                                </a:lnTo>
                                <a:lnTo>
                                  <a:pt x="173307" y="10882"/>
                                </a:lnTo>
                                <a:lnTo>
                                  <a:pt x="170478" y="17150"/>
                                </a:lnTo>
                                <a:lnTo>
                                  <a:pt x="169384" y="25264"/>
                                </a:lnTo>
                                <a:lnTo>
                                  <a:pt x="171823" y="25264"/>
                                </a:lnTo>
                                <a:lnTo>
                                  <a:pt x="173491" y="20293"/>
                                </a:lnTo>
                                <a:lnTo>
                                  <a:pt x="176079" y="16523"/>
                                </a:lnTo>
                                <a:lnTo>
                                  <a:pt x="183067" y="11379"/>
                                </a:lnTo>
                                <a:lnTo>
                                  <a:pt x="187016" y="10090"/>
                                </a:lnTo>
                                <a:lnTo>
                                  <a:pt x="216314" y="10090"/>
                                </a:lnTo>
                                <a:lnTo>
                                  <a:pt x="208224" y="2329"/>
                                </a:lnTo>
                                <a:lnTo>
                                  <a:pt x="202169" y="0"/>
                                </a:lnTo>
                                <a:close/>
                              </a:path>
                              <a:path w="292735" h="93345">
                                <a:moveTo>
                                  <a:pt x="273790" y="0"/>
                                </a:moveTo>
                                <a:lnTo>
                                  <a:pt x="259148" y="0"/>
                                </a:lnTo>
                                <a:lnTo>
                                  <a:pt x="253191" y="2099"/>
                                </a:lnTo>
                                <a:lnTo>
                                  <a:pt x="244216" y="10497"/>
                                </a:lnTo>
                                <a:lnTo>
                                  <a:pt x="241977" y="15501"/>
                                </a:lnTo>
                                <a:lnTo>
                                  <a:pt x="242004" y="25185"/>
                                </a:lnTo>
                                <a:lnTo>
                                  <a:pt x="242999" y="28735"/>
                                </a:lnTo>
                                <a:lnTo>
                                  <a:pt x="247089" y="35773"/>
                                </a:lnTo>
                                <a:lnTo>
                                  <a:pt x="251650" y="40435"/>
                                </a:lnTo>
                                <a:lnTo>
                                  <a:pt x="258732" y="46238"/>
                                </a:lnTo>
                                <a:lnTo>
                                  <a:pt x="252223" y="50943"/>
                                </a:lnTo>
                                <a:lnTo>
                                  <a:pt x="247640" y="55245"/>
                                </a:lnTo>
                                <a:lnTo>
                                  <a:pt x="242316" y="63028"/>
                                </a:lnTo>
                                <a:lnTo>
                                  <a:pt x="241184" y="66362"/>
                                </a:lnTo>
                                <a:lnTo>
                                  <a:pt x="240984" y="67017"/>
                                </a:lnTo>
                                <a:lnTo>
                                  <a:pt x="240984" y="75967"/>
                                </a:lnTo>
                                <a:lnTo>
                                  <a:pt x="242877" y="80628"/>
                                </a:lnTo>
                                <a:lnTo>
                                  <a:pt x="251405" y="90215"/>
                                </a:lnTo>
                                <a:lnTo>
                                  <a:pt x="258026" y="92876"/>
                                </a:lnTo>
                                <a:lnTo>
                                  <a:pt x="274301" y="92876"/>
                                </a:lnTo>
                                <a:lnTo>
                                  <a:pt x="280587" y="90643"/>
                                </a:lnTo>
                                <a:lnTo>
                                  <a:pt x="282014" y="89315"/>
                                </a:lnTo>
                                <a:lnTo>
                                  <a:pt x="262778" y="89315"/>
                                </a:lnTo>
                                <a:lnTo>
                                  <a:pt x="258832" y="87613"/>
                                </a:lnTo>
                                <a:lnTo>
                                  <a:pt x="252630" y="80794"/>
                                </a:lnTo>
                                <a:lnTo>
                                  <a:pt x="251108" y="76340"/>
                                </a:lnTo>
                                <a:lnTo>
                                  <a:pt x="251078" y="66362"/>
                                </a:lnTo>
                                <a:lnTo>
                                  <a:pt x="251956" y="62434"/>
                                </a:lnTo>
                                <a:lnTo>
                                  <a:pt x="255444" y="55245"/>
                                </a:lnTo>
                                <a:lnTo>
                                  <a:pt x="258181" y="51828"/>
                                </a:lnTo>
                                <a:lnTo>
                                  <a:pt x="261835" y="48751"/>
                                </a:lnTo>
                                <a:lnTo>
                                  <a:pt x="281034" y="48751"/>
                                </a:lnTo>
                                <a:lnTo>
                                  <a:pt x="279928" y="47735"/>
                                </a:lnTo>
                                <a:lnTo>
                                  <a:pt x="272185" y="41752"/>
                                </a:lnTo>
                                <a:lnTo>
                                  <a:pt x="276293" y="39182"/>
                                </a:lnTo>
                                <a:lnTo>
                                  <a:pt x="269085" y="39182"/>
                                </a:lnTo>
                                <a:lnTo>
                                  <a:pt x="251539" y="19104"/>
                                </a:lnTo>
                                <a:lnTo>
                                  <a:pt x="251539" y="13345"/>
                                </a:lnTo>
                                <a:lnTo>
                                  <a:pt x="262227" y="3822"/>
                                </a:lnTo>
                                <a:lnTo>
                                  <a:pt x="281696" y="3822"/>
                                </a:lnTo>
                                <a:lnTo>
                                  <a:pt x="279597" y="1954"/>
                                </a:lnTo>
                                <a:lnTo>
                                  <a:pt x="273790" y="0"/>
                                </a:lnTo>
                                <a:close/>
                              </a:path>
                              <a:path w="292735" h="93345">
                                <a:moveTo>
                                  <a:pt x="281034" y="48751"/>
                                </a:moveTo>
                                <a:lnTo>
                                  <a:pt x="261835" y="48751"/>
                                </a:lnTo>
                                <a:lnTo>
                                  <a:pt x="268360" y="54120"/>
                                </a:lnTo>
                                <a:lnTo>
                                  <a:pt x="273690" y="58954"/>
                                </a:lnTo>
                                <a:lnTo>
                                  <a:pt x="277826" y="63253"/>
                                </a:lnTo>
                                <a:lnTo>
                                  <a:pt x="280768" y="67017"/>
                                </a:lnTo>
                                <a:lnTo>
                                  <a:pt x="282434" y="69523"/>
                                </a:lnTo>
                                <a:lnTo>
                                  <a:pt x="283270" y="72363"/>
                                </a:lnTo>
                                <a:lnTo>
                                  <a:pt x="283270" y="79354"/>
                                </a:lnTo>
                                <a:lnTo>
                                  <a:pt x="281840" y="82605"/>
                                </a:lnTo>
                                <a:lnTo>
                                  <a:pt x="276123" y="87972"/>
                                </a:lnTo>
                                <a:lnTo>
                                  <a:pt x="272318" y="89315"/>
                                </a:lnTo>
                                <a:lnTo>
                                  <a:pt x="282014" y="89315"/>
                                </a:lnTo>
                                <a:lnTo>
                                  <a:pt x="290173" y="81716"/>
                                </a:lnTo>
                                <a:lnTo>
                                  <a:pt x="292567" y="76340"/>
                                </a:lnTo>
                                <a:lnTo>
                                  <a:pt x="292567" y="65083"/>
                                </a:lnTo>
                                <a:lnTo>
                                  <a:pt x="290897" y="60358"/>
                                </a:lnTo>
                                <a:lnTo>
                                  <a:pt x="287557" y="55868"/>
                                </a:lnTo>
                                <a:lnTo>
                                  <a:pt x="285051" y="52440"/>
                                </a:lnTo>
                                <a:lnTo>
                                  <a:pt x="281034" y="48751"/>
                                </a:lnTo>
                                <a:close/>
                              </a:path>
                              <a:path w="292735" h="93345">
                                <a:moveTo>
                                  <a:pt x="281696" y="3822"/>
                                </a:moveTo>
                                <a:lnTo>
                                  <a:pt x="271198" y="3822"/>
                                </a:lnTo>
                                <a:lnTo>
                                  <a:pt x="274740" y="5133"/>
                                </a:lnTo>
                                <a:lnTo>
                                  <a:pt x="279924" y="10364"/>
                                </a:lnTo>
                                <a:lnTo>
                                  <a:pt x="280996" y="13345"/>
                                </a:lnTo>
                                <a:lnTo>
                                  <a:pt x="281107" y="22600"/>
                                </a:lnTo>
                                <a:lnTo>
                                  <a:pt x="280523" y="25185"/>
                                </a:lnTo>
                                <a:lnTo>
                                  <a:pt x="277707" y="30679"/>
                                </a:lnTo>
                                <a:lnTo>
                                  <a:pt x="274367" y="34433"/>
                                </a:lnTo>
                                <a:lnTo>
                                  <a:pt x="269085" y="39182"/>
                                </a:lnTo>
                                <a:lnTo>
                                  <a:pt x="276293" y="39182"/>
                                </a:lnTo>
                                <a:lnTo>
                                  <a:pt x="279705" y="37047"/>
                                </a:lnTo>
                                <a:lnTo>
                                  <a:pt x="284655" y="32957"/>
                                </a:lnTo>
                                <a:lnTo>
                                  <a:pt x="289404" y="26005"/>
                                </a:lnTo>
                                <a:lnTo>
                                  <a:pt x="290591" y="22600"/>
                                </a:lnTo>
                                <a:lnTo>
                                  <a:pt x="290591" y="14248"/>
                                </a:lnTo>
                                <a:lnTo>
                                  <a:pt x="288395" y="9784"/>
                                </a:lnTo>
                                <a:lnTo>
                                  <a:pt x="281696" y="3822"/>
                                </a:lnTo>
                                <a:close/>
                              </a:path>
                            </a:pathLst>
                          </a:custGeom>
                          <a:solidFill>
                            <a:srgbClr val="010202"/>
                          </a:solidFill>
                        </wps:spPr>
                        <wps:bodyPr wrap="square" lIns="0" tIns="0" rIns="0" bIns="0" rtlCol="0">
                          <a:prstTxWarp prst="textNoShape">
                            <a:avLst/>
                          </a:prstTxWarp>
                          <a:noAutofit/>
                        </wps:bodyPr>
                      </wps:wsp>
                      <wps:wsp>
                        <wps:cNvPr id="19" name="Graphic 19"/>
                        <wps:cNvSpPr/>
                        <wps:spPr>
                          <a:xfrm>
                            <a:off x="2845054" y="0"/>
                            <a:ext cx="588010" cy="234950"/>
                          </a:xfrm>
                          <a:custGeom>
                            <a:avLst/>
                            <a:gdLst/>
                            <a:ahLst/>
                            <a:cxnLst/>
                            <a:rect l="l" t="t" r="r" b="b"/>
                            <a:pathLst>
                              <a:path w="588010" h="234950">
                                <a:moveTo>
                                  <a:pt x="587452" y="0"/>
                                </a:moveTo>
                                <a:lnTo>
                                  <a:pt x="0" y="0"/>
                                </a:lnTo>
                                <a:lnTo>
                                  <a:pt x="0" y="234353"/>
                                </a:lnTo>
                                <a:lnTo>
                                  <a:pt x="587452" y="234353"/>
                                </a:lnTo>
                                <a:lnTo>
                                  <a:pt x="587452" y="0"/>
                                </a:lnTo>
                                <a:close/>
                              </a:path>
                            </a:pathLst>
                          </a:custGeom>
                          <a:solidFill>
                            <a:srgbClr val="D3DFED"/>
                          </a:solidFill>
                        </wps:spPr>
                        <wps:bodyPr wrap="square" lIns="0" tIns="0" rIns="0" bIns="0" rtlCol="0">
                          <a:prstTxWarp prst="textNoShape">
                            <a:avLst/>
                          </a:prstTxWarp>
                          <a:noAutofit/>
                        </wps:bodyPr>
                      </wps:wsp>
                      <wps:wsp>
                        <wps:cNvPr id="20" name="Graphic 20"/>
                        <wps:cNvSpPr/>
                        <wps:spPr>
                          <a:xfrm>
                            <a:off x="-11" y="235923"/>
                            <a:ext cx="3432810" cy="17780"/>
                          </a:xfrm>
                          <a:custGeom>
                            <a:avLst/>
                            <a:gdLst/>
                            <a:ahLst/>
                            <a:cxnLst/>
                            <a:rect l="l" t="t" r="r" b="b"/>
                            <a:pathLst>
                              <a:path w="3432810" h="17780">
                                <a:moveTo>
                                  <a:pt x="3432518" y="0"/>
                                </a:moveTo>
                                <a:lnTo>
                                  <a:pt x="2852877" y="0"/>
                                </a:lnTo>
                                <a:lnTo>
                                  <a:pt x="0" y="0"/>
                                </a:lnTo>
                                <a:lnTo>
                                  <a:pt x="0" y="17183"/>
                                </a:lnTo>
                                <a:lnTo>
                                  <a:pt x="2852877" y="17183"/>
                                </a:lnTo>
                                <a:lnTo>
                                  <a:pt x="3432518" y="17183"/>
                                </a:lnTo>
                                <a:lnTo>
                                  <a:pt x="3432518" y="0"/>
                                </a:lnTo>
                                <a:close/>
                              </a:path>
                            </a:pathLst>
                          </a:custGeom>
                          <a:solidFill>
                            <a:srgbClr val="010202"/>
                          </a:solidFill>
                        </wps:spPr>
                        <wps:bodyPr wrap="square" lIns="0" tIns="0" rIns="0" bIns="0" rtlCol="0">
                          <a:prstTxWarp prst="textNoShape">
                            <a:avLst/>
                          </a:prstTxWarp>
                          <a:noAutofit/>
                        </wps:bodyPr>
                      </wps:wsp>
                    </wpg:wgp>
                  </a:graphicData>
                </a:graphic>
              </wp:anchor>
            </w:drawing>
          </mc:Choice>
          <mc:Fallback>
            <w:pict>
              <v:group style="position:absolute;margin-left:152.420898pt;margin-top:5.658502pt;width:270.3pt;height:19.95pt;mso-position-horizontal-relative:page;mso-position-vertical-relative:paragraph;z-index:-15726080;mso-wrap-distance-left:0;mso-wrap-distance-right:0" id="docshapegroup14" coordorigin="3048,113" coordsize="5406,399">
                <v:shape style="position:absolute;left:3060;top:113;width:2609;height:370" type="#_x0000_t202" id="docshape15" filled="true" fillcolor="#d3dfed" stroked="false">
                  <v:textbox inset="0,0,0,0">
                    <w:txbxContent>
                      <w:p>
                        <w:pPr>
                          <w:spacing w:before="15"/>
                          <w:ind w:left="111" w:right="0" w:firstLine="0"/>
                          <w:jc w:val="left"/>
                          <w:rPr>
                            <w:color w:val="000000"/>
                            <w:sz w:val="21"/>
                          </w:rPr>
                        </w:pPr>
                        <w:r>
                          <w:rPr>
                            <w:color w:val="131313"/>
                            <w:sz w:val="21"/>
                          </w:rPr>
                          <w:t>Training</w:t>
                        </w:r>
                        <w:r>
                          <w:rPr>
                            <w:color w:val="131313"/>
                            <w:spacing w:val="10"/>
                            <w:sz w:val="21"/>
                          </w:rPr>
                          <w:t> </w:t>
                        </w:r>
                        <w:r>
                          <w:rPr>
                            <w:color w:val="131313"/>
                            <w:spacing w:val="-2"/>
                            <w:sz w:val="21"/>
                          </w:rPr>
                          <w:t>Motivation</w:t>
                        </w:r>
                      </w:p>
                    </w:txbxContent>
                  </v:textbox>
                  <v:fill type="solid"/>
                  <w10:wrap type="none"/>
                </v:shape>
                <v:shape style="position:absolute;left:5772;top:113;width:923;height:370" type="#_x0000_t202" id="docshape16" filled="true" fillcolor="#d3dfed" stroked="false">
                  <v:textbox inset="0,0,0,0">
                    <w:txbxContent>
                      <w:p>
                        <w:pPr>
                          <w:spacing w:before="15"/>
                          <w:ind w:left="230" w:right="0" w:firstLine="0"/>
                          <w:jc w:val="left"/>
                          <w:rPr>
                            <w:color w:val="000000"/>
                            <w:sz w:val="21"/>
                          </w:rPr>
                        </w:pPr>
                        <w:r>
                          <w:rPr>
                            <w:color w:val="131313"/>
                            <w:spacing w:val="-2"/>
                            <w:sz w:val="21"/>
                          </w:rPr>
                          <w:t>0.193</w:t>
                        </w:r>
                      </w:p>
                    </w:txbxContent>
                  </v:textbox>
                  <v:fill type="solid"/>
                  <w10:wrap type="none"/>
                </v:shape>
                <v:shape style="position:absolute;left:6798;top:113;width:731;height:370" id="docshape17" coordorigin="6798,113" coordsize="731,370" path="m7529,113l7423,113,6901,113,6798,113,6798,482,6901,482,7423,482,7529,482,7529,113xe" filled="true" fillcolor="#d3dfed" stroked="false">
                  <v:path arrowok="t"/>
                  <v:fill type="solid"/>
                </v:shape>
                <v:shape style="position:absolute;left:6931;top:198;width:461;height:147" id="docshape18" coordorigin="6931,198" coordsize="461,147" path="m6988,198l6971,198,6964,200,6958,205,6950,211,6943,219,6939,231,6935,240,6933,250,6932,261,6932,266,6931,275,6932,286,6934,299,6938,310,6943,321,6950,331,6958,339,6966,343,6976,344,6983,344,6990,342,6996,338,6969,338,6963,333,6959,322,6956,313,6953,301,6952,289,6952,286,6952,261,6953,251,6956,226,6959,217,6960,217,6968,207,6972,205,6999,205,6998,204,6988,198xm6999,205l6981,205,6985,206,6987,209,6991,212,6994,217,6995,217,6997,225,6999,234,7001,244,7002,254,7002,282,7001,293,7001,294,6999,306,6997,316,6995,323,6995,324,6992,330,6984,336,6980,338,6996,338,7005,332,7011,323,7015,312,7018,303,7021,293,7022,282,7022,275,7022,270,7021,254,7021,254,7018,239,7013,226,7013,226,7006,215,6999,205xm7062,322l7055,322,7053,323,7048,327,7047,330,7047,337,7048,339,7053,344,7055,345,7062,345,7065,344,7069,339,7070,337,7070,330,7069,327,7065,323,7062,322xm7164,338l7111,338,7111,342,7164,342,7164,338xm7146,215l7122,215,7124,215,7126,218,7127,219,7128,221,7128,224,7129,231,7129,326,7128,330,7128,331,7127,334,7127,334,7125,335,7121,337,7116,338,7158,338,7153,337,7149,335,7147,334,7146,330,7146,326,7146,215xm7146,198l7142,198,7108,215,7110,218,7114,216,7118,215,7146,215,7146,198xm7272,214l7240,214,7247,217,7258,228,7261,236,7261,245,7260,254,7257,263,7252,273,7246,283,7237,295,7225,308,7211,322,7194,338,7194,342,7277,342,7283,326,7216,326,7220,322,7228,315,7237,305,7249,292,7257,283,7263,274,7269,265,7273,257,7277,249,7278,242,7278,225,7275,217,7275,217,7272,214xm7287,315l7283,315,7281,318,7279,320,7274,324,7272,325,7266,326,7260,326,7283,326,7287,315xm7250,198l7228,198,7219,202,7204,215,7200,225,7198,238,7202,238,7205,230,7209,224,7220,216,7226,214,7272,214,7259,202,7250,198xm7363,198l7339,198,7330,202,7316,215,7312,223,7312,238,7314,243,7320,255,7328,262,7339,271,7329,278,7321,285,7313,297,7311,303,7311,304,7311,318,7314,325,7327,340,7338,344,7363,344,7373,341,7376,339,7345,339,7339,336,7329,325,7327,318,7327,303,7328,297,7334,285,7338,280,7344,275,7374,275,7372,273,7360,264,7366,260,7355,260,7338,246,7335,243,7332,239,7328,232,7328,228,7328,219,7330,215,7330,215,7331,214,7339,206,7344,204,7375,204,7372,201,7363,198xm7374,275l7344,275,7354,283,7362,291,7369,298,7374,304,7376,308,7377,312,7377,323,7375,328,7366,337,7360,339,7376,339,7388,327,7392,318,7392,301,7389,293,7384,286,7380,281,7374,275xm7375,204l7358,204,7364,206,7372,215,7374,219,7374,234,7373,238,7369,247,7363,252,7355,260,7366,260,7372,257,7380,250,7387,239,7389,234,7389,221,7386,214,7375,204xe" filled="true" fillcolor="#010202" stroked="false">
                  <v:path arrowok="t"/>
                  <v:fill type="solid"/>
                </v:shape>
                <v:rect style="position:absolute;left:7528;top:113;width:926;height:370" id="docshape19" filled="true" fillcolor="#d3dfed" stroked="false">
                  <v:fill type="solid"/>
                </v:rect>
                <v:shape style="position:absolute;left:3048;top:484;width:5406;height:28" id="docshape20" coordorigin="3048,485" coordsize="5406,28" path="m8454,485l7541,485,3048,485,3048,512,7541,512,8454,512,8454,485xe" filled="true" fillcolor="#010202" stroked="false">
                  <v:path arrowok="t"/>
                  <v:fill type="solid"/>
                </v:shape>
                <w10:wrap type="topAndBottom"/>
              </v:group>
            </w:pict>
          </mc:Fallback>
        </mc:AlternateContent>
      </w:r>
    </w:p>
    <w:p>
      <w:pPr>
        <w:pStyle w:val="BodyText"/>
        <w:spacing w:line="290" w:lineRule="auto" w:before="73"/>
        <w:ind w:left="321" w:right="306" w:firstLine="1"/>
        <w:jc w:val="both"/>
      </w:pPr>
      <w:r>
        <w:rPr>
          <w:color w:val="131313"/>
        </w:rPr>
        <w:t>The discriminant validity between Training &amp; Development </w:t>
      </w:r>
      <w:r>
        <w:rPr>
          <w:b/>
          <w:color w:val="131313"/>
          <w:sz w:val="20"/>
        </w:rPr>
        <w:t>(T&amp;D), </w:t>
      </w:r>
      <w:r>
        <w:rPr>
          <w:color w:val="131313"/>
        </w:rPr>
        <w:t>Employee Productivity (EP), and</w:t>
      </w:r>
      <w:r>
        <w:rPr>
          <w:color w:val="131313"/>
          <w:spacing w:val="40"/>
        </w:rPr>
        <w:t> </w:t>
      </w:r>
      <w:r>
        <w:rPr>
          <w:color w:val="131313"/>
        </w:rPr>
        <w:t>Training</w:t>
      </w:r>
      <w:r>
        <w:rPr>
          <w:color w:val="131313"/>
          <w:spacing w:val="40"/>
        </w:rPr>
        <w:t> </w:t>
      </w:r>
      <w:r>
        <w:rPr>
          <w:color w:val="131313"/>
        </w:rPr>
        <w:t>Motivation</w:t>
      </w:r>
      <w:r>
        <w:rPr>
          <w:color w:val="131313"/>
          <w:spacing w:val="40"/>
        </w:rPr>
        <w:t> </w:t>
      </w:r>
      <w:r>
        <w:rPr>
          <w:color w:val="131313"/>
        </w:rPr>
        <w:t>(TM)</w:t>
      </w:r>
      <w:r>
        <w:rPr>
          <w:color w:val="131313"/>
          <w:spacing w:val="40"/>
        </w:rPr>
        <w:t> </w:t>
      </w:r>
      <w:r>
        <w:rPr>
          <w:color w:val="131313"/>
        </w:rPr>
        <w:t>is supported</w:t>
      </w:r>
      <w:r>
        <w:rPr>
          <w:color w:val="131313"/>
          <w:spacing w:val="40"/>
        </w:rPr>
        <w:t> </w:t>
      </w:r>
      <w:r>
        <w:rPr>
          <w:color w:val="131313"/>
        </w:rPr>
        <w:t>by the examination</w:t>
      </w:r>
      <w:r>
        <w:rPr>
          <w:color w:val="131313"/>
          <w:spacing w:val="40"/>
        </w:rPr>
        <w:t> </w:t>
      </w:r>
      <w:r>
        <w:rPr>
          <w:color w:val="131313"/>
        </w:rPr>
        <w:t>of</w:t>
      </w:r>
      <w:r>
        <w:rPr>
          <w:color w:val="131313"/>
          <w:spacing w:val="40"/>
        </w:rPr>
        <w:t> </w:t>
      </w:r>
      <w:r>
        <w:rPr>
          <w:color w:val="131313"/>
        </w:rPr>
        <w:t>the correlation matrix. The correlations between T&amp;D and EP</w:t>
      </w:r>
      <w:r>
        <w:rPr>
          <w:color w:val="131313"/>
          <w:spacing w:val="-4"/>
        </w:rPr>
        <w:t> </w:t>
      </w:r>
      <w:r>
        <w:rPr>
          <w:color w:val="131313"/>
        </w:rPr>
        <w:t>(0.695) and between T&amp;D and TM</w:t>
      </w:r>
      <w:r>
        <w:rPr>
          <w:color w:val="131313"/>
          <w:spacing w:val="-4"/>
        </w:rPr>
        <w:t> </w:t>
      </w:r>
      <w:r>
        <w:rPr>
          <w:color w:val="131313"/>
        </w:rPr>
        <w:t>(0.128) are lower than the square roots of the average variance extracted for each respective construct, indicating discriminant validity (Fornell &amp; Larcker, 1981). Additionally</w:t>
      </w:r>
      <w:r>
        <w:rPr>
          <w:color w:val="3B3838"/>
        </w:rPr>
        <w:t>, </w:t>
      </w:r>
      <w:r>
        <w:rPr>
          <w:color w:val="131313"/>
        </w:rPr>
        <w:t>the correlation between EP and TM (0.193) is also lower than the square roots of the average variance extracted</w:t>
      </w:r>
      <w:r>
        <w:rPr>
          <w:color w:val="131313"/>
          <w:spacing w:val="40"/>
        </w:rPr>
        <w:t> </w:t>
      </w:r>
      <w:r>
        <w:rPr>
          <w:color w:val="131313"/>
        </w:rPr>
        <w:t>for EP and</w:t>
      </w:r>
      <w:r>
        <w:rPr>
          <w:color w:val="131313"/>
          <w:spacing w:val="40"/>
        </w:rPr>
        <w:t> </w:t>
      </w:r>
      <w:r>
        <w:rPr>
          <w:color w:val="131313"/>
        </w:rPr>
        <w:t>TM, further confirming</w:t>
      </w:r>
      <w:r>
        <w:rPr>
          <w:color w:val="131313"/>
          <w:spacing w:val="39"/>
        </w:rPr>
        <w:t> </w:t>
      </w:r>
      <w:r>
        <w:rPr>
          <w:color w:val="131313"/>
        </w:rPr>
        <w:t>discriminant</w:t>
      </w:r>
      <w:r>
        <w:rPr>
          <w:color w:val="131313"/>
          <w:spacing w:val="40"/>
        </w:rPr>
        <w:t> </w:t>
      </w:r>
      <w:r>
        <w:rPr>
          <w:color w:val="131313"/>
        </w:rPr>
        <w:t>validity.</w:t>
      </w:r>
      <w:r>
        <w:rPr>
          <w:color w:val="131313"/>
          <w:spacing w:val="40"/>
        </w:rPr>
        <w:t> </w:t>
      </w:r>
      <w:r>
        <w:rPr>
          <w:color w:val="131313"/>
        </w:rPr>
        <w:t>These</w:t>
      </w:r>
      <w:r>
        <w:rPr>
          <w:color w:val="131313"/>
          <w:spacing w:val="37"/>
        </w:rPr>
        <w:t> </w:t>
      </w:r>
      <w:r>
        <w:rPr>
          <w:color w:val="131313"/>
        </w:rPr>
        <w:t>findings</w:t>
      </w:r>
      <w:r>
        <w:rPr>
          <w:color w:val="131313"/>
          <w:spacing w:val="40"/>
        </w:rPr>
        <w:t> </w:t>
      </w:r>
      <w:r>
        <w:rPr>
          <w:color w:val="131313"/>
        </w:rPr>
        <w:t>suggest that T&amp;D, EP, and </w:t>
      </w:r>
      <w:r>
        <w:rPr>
          <w:b/>
          <w:color w:val="131313"/>
        </w:rPr>
        <w:t>TM </w:t>
      </w:r>
      <w:r>
        <w:rPr>
          <w:color w:val="131313"/>
        </w:rPr>
        <w:t>are distinct constructs, as they exhibit stronger correlations with their own</w:t>
      </w:r>
      <w:r>
        <w:rPr>
          <w:color w:val="131313"/>
          <w:spacing w:val="40"/>
        </w:rPr>
        <w:t> </w:t>
      </w:r>
      <w:r>
        <w:rPr>
          <w:color w:val="131313"/>
        </w:rPr>
        <w:t>latent</w:t>
      </w:r>
      <w:r>
        <w:rPr>
          <w:color w:val="131313"/>
          <w:spacing w:val="40"/>
        </w:rPr>
        <w:t> </w:t>
      </w:r>
      <w:r>
        <w:rPr>
          <w:color w:val="131313"/>
        </w:rPr>
        <w:t>variables</w:t>
      </w:r>
      <w:r>
        <w:rPr>
          <w:color w:val="131313"/>
          <w:spacing w:val="40"/>
        </w:rPr>
        <w:t> </w:t>
      </w:r>
      <w:r>
        <w:rPr>
          <w:color w:val="131313"/>
        </w:rPr>
        <w:t>than</w:t>
      </w:r>
      <w:r>
        <w:rPr>
          <w:color w:val="131313"/>
          <w:spacing w:val="40"/>
        </w:rPr>
        <w:t> </w:t>
      </w:r>
      <w:r>
        <w:rPr>
          <w:color w:val="131313"/>
        </w:rPr>
        <w:t>with others, supporting</w:t>
      </w:r>
      <w:r>
        <w:rPr>
          <w:color w:val="131313"/>
          <w:spacing w:val="40"/>
        </w:rPr>
        <w:t> </w:t>
      </w:r>
      <w:r>
        <w:rPr>
          <w:color w:val="131313"/>
        </w:rPr>
        <w:t>the notion that they measure</w:t>
      </w:r>
      <w:r>
        <w:rPr>
          <w:color w:val="131313"/>
          <w:spacing w:val="40"/>
        </w:rPr>
        <w:t> </w:t>
      </w:r>
      <w:r>
        <w:rPr>
          <w:color w:val="131313"/>
        </w:rPr>
        <w:t>different aspects of organizational phenomena (Hair et al., 2017). Therefore, the discriminant validity analysis provides evidence that the</w:t>
      </w:r>
      <w:r>
        <w:rPr>
          <w:color w:val="131313"/>
          <w:spacing w:val="-3"/>
        </w:rPr>
        <w:t> </w:t>
      </w:r>
      <w:r>
        <w:rPr>
          <w:color w:val="131313"/>
        </w:rPr>
        <w:t>constructs are sufficiently distinct and not simply different manifestations of the same underlying construct, strengthening the validity of the research </w:t>
      </w:r>
      <w:r>
        <w:rPr>
          <w:color w:val="131313"/>
          <w:spacing w:val="-2"/>
        </w:rPr>
        <w:t>model.</w:t>
      </w:r>
    </w:p>
    <w:p>
      <w:pPr>
        <w:pStyle w:val="ListParagraph"/>
        <w:numPr>
          <w:ilvl w:val="2"/>
          <w:numId w:val="1"/>
        </w:numPr>
        <w:tabs>
          <w:tab w:pos="792" w:val="left" w:leader="none"/>
        </w:tabs>
        <w:spacing w:line="240" w:lineRule="auto" w:before="123" w:after="0"/>
        <w:ind w:left="792" w:right="0" w:hanging="466"/>
        <w:jc w:val="both"/>
        <w:rPr>
          <w:i/>
          <w:color w:val="131313"/>
          <w:sz w:val="20"/>
        </w:rPr>
      </w:pPr>
      <w:r>
        <w:rPr>
          <w:i/>
          <w:color w:val="131313"/>
          <w:w w:val="105"/>
          <w:sz w:val="20"/>
        </w:rPr>
        <w:t>Model</w:t>
      </w:r>
      <w:r>
        <w:rPr>
          <w:i/>
          <w:color w:val="131313"/>
          <w:spacing w:val="12"/>
          <w:w w:val="105"/>
          <w:sz w:val="20"/>
        </w:rPr>
        <w:t> </w:t>
      </w:r>
      <w:r>
        <w:rPr>
          <w:i/>
          <w:color w:val="131313"/>
          <w:spacing w:val="-5"/>
          <w:w w:val="105"/>
          <w:sz w:val="20"/>
        </w:rPr>
        <w:t>Fit</w:t>
      </w:r>
    </w:p>
    <w:p>
      <w:pPr>
        <w:pStyle w:val="BodyText"/>
        <w:spacing w:line="290" w:lineRule="auto" w:before="150"/>
        <w:ind w:left="321" w:right="299" w:firstLine="4"/>
        <w:jc w:val="both"/>
      </w:pPr>
      <w:r>
        <w:rPr>
          <w:color w:val="131313"/>
        </w:rPr>
        <w:t>Common fit indices include the chi-square test</w:t>
      </w:r>
      <w:r>
        <w:rPr>
          <w:color w:val="3B3838"/>
        </w:rPr>
        <w:t>, </w:t>
      </w:r>
      <w:r>
        <w:rPr>
          <w:color w:val="131313"/>
        </w:rPr>
        <w:t>the root mean squared error of approximation (RMSEA),</w:t>
      </w:r>
      <w:r>
        <w:rPr>
          <w:color w:val="131313"/>
          <w:spacing w:val="40"/>
        </w:rPr>
        <w:t> </w:t>
      </w:r>
      <w:r>
        <w:rPr>
          <w:color w:val="131313"/>
        </w:rPr>
        <w:t>the Tucker-Lewis index (TLI), and</w:t>
      </w:r>
      <w:r>
        <w:rPr>
          <w:color w:val="131313"/>
          <w:spacing w:val="40"/>
        </w:rPr>
        <w:t> </w:t>
      </w:r>
      <w:r>
        <w:rPr>
          <w:color w:val="131313"/>
        </w:rPr>
        <w:t>the Comparative</w:t>
      </w:r>
      <w:r>
        <w:rPr>
          <w:color w:val="131313"/>
          <w:spacing w:val="40"/>
        </w:rPr>
        <w:t> </w:t>
      </w:r>
      <w:r>
        <w:rPr>
          <w:color w:val="131313"/>
        </w:rPr>
        <w:t>Fit Index (CFI) (Hu &amp; Bentler, 1999). A</w:t>
      </w:r>
      <w:r>
        <w:rPr>
          <w:color w:val="131313"/>
          <w:spacing w:val="-1"/>
        </w:rPr>
        <w:t> </w:t>
      </w:r>
      <w:r>
        <w:rPr>
          <w:color w:val="131313"/>
        </w:rPr>
        <w:t>non-significant</w:t>
      </w:r>
      <w:r>
        <w:rPr>
          <w:color w:val="131313"/>
          <w:spacing w:val="-5"/>
        </w:rPr>
        <w:t> </w:t>
      </w:r>
      <w:r>
        <w:rPr>
          <w:color w:val="131313"/>
        </w:rPr>
        <w:t>chi-square, an RMSEA below 0.08, and TLI and CFI values close to or</w:t>
      </w:r>
      <w:r>
        <w:rPr>
          <w:color w:val="131313"/>
          <w:spacing w:val="-4"/>
        </w:rPr>
        <w:t> </w:t>
      </w:r>
      <w:r>
        <w:rPr>
          <w:color w:val="131313"/>
        </w:rPr>
        <w:t>above 0.90 would indicate an</w:t>
      </w:r>
      <w:r>
        <w:rPr>
          <w:color w:val="131313"/>
          <w:spacing w:val="-6"/>
        </w:rPr>
        <w:t> </w:t>
      </w:r>
      <w:r>
        <w:rPr>
          <w:color w:val="131313"/>
        </w:rPr>
        <w:t>acceptable fit</w:t>
      </w:r>
      <w:r>
        <w:rPr>
          <w:color w:val="131313"/>
          <w:spacing w:val="-2"/>
        </w:rPr>
        <w:t> </w:t>
      </w:r>
      <w:r>
        <w:rPr>
          <w:color w:val="131313"/>
        </w:rPr>
        <w:t>between the model and the data (Hu &amp; Bentler, 1999).</w:t>
      </w:r>
    </w:p>
    <w:p>
      <w:pPr>
        <w:pStyle w:val="BodyText"/>
      </w:pPr>
    </w:p>
    <w:p>
      <w:pPr>
        <w:pStyle w:val="BodyText"/>
      </w:pPr>
    </w:p>
    <w:p>
      <w:pPr>
        <w:pStyle w:val="BodyText"/>
        <w:spacing w:before="226"/>
      </w:pPr>
    </w:p>
    <w:p>
      <w:pPr>
        <w:spacing w:before="0"/>
        <w:ind w:left="854" w:right="823" w:firstLine="0"/>
        <w:jc w:val="center"/>
        <w:rPr>
          <w:sz w:val="17"/>
        </w:rPr>
      </w:pPr>
      <w:r>
        <w:rPr>
          <w:color w:val="3B3838"/>
          <w:spacing w:val="-5"/>
          <w:w w:val="105"/>
          <w:sz w:val="17"/>
        </w:rPr>
        <w:t>67</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68" w:id="12"/>
      <w:bookmarkEnd w:id="12"/>
      <w:r>
        <w:rPr/>
      </w:r>
      <w:r>
        <w:rPr>
          <w:i/>
          <w:color w:val="3B3838"/>
          <w:sz w:val="18"/>
        </w:rPr>
        <w:t>Mahbub</w:t>
      </w:r>
      <w:r>
        <w:rPr>
          <w:i/>
          <w:color w:val="565454"/>
          <w:sz w:val="18"/>
        </w:rPr>
        <w:t>/</w:t>
      </w:r>
      <w:r>
        <w:rPr>
          <w:i/>
          <w:color w:val="3B3838"/>
          <w:sz w:val="18"/>
        </w:rPr>
        <w:t>Comilla</w:t>
      </w:r>
      <w:r>
        <w:rPr>
          <w:i/>
          <w:color w:val="3B3838"/>
          <w:spacing w:val="-12"/>
          <w:sz w:val="18"/>
        </w:rPr>
        <w:t> </w:t>
      </w:r>
      <w:r>
        <w:rPr>
          <w:i/>
          <w:color w:val="3B3838"/>
          <w:sz w:val="18"/>
        </w:rPr>
        <w:t>Un</w:t>
      </w:r>
      <w:r>
        <w:rPr>
          <w:i/>
          <w:color w:val="111313"/>
          <w:sz w:val="18"/>
        </w:rPr>
        <w:t>i</w:t>
      </w:r>
      <w:r>
        <w:rPr>
          <w:i/>
          <w:color w:val="3B3838"/>
          <w:sz w:val="18"/>
        </w:rPr>
        <w:t>versity</w:t>
      </w:r>
      <w:r>
        <w:rPr>
          <w:i/>
          <w:color w:val="3B3838"/>
          <w:spacing w:val="-11"/>
          <w:sz w:val="18"/>
        </w:rPr>
        <w:t> </w:t>
      </w:r>
      <w:r>
        <w:rPr>
          <w:i/>
          <w:color w:val="3B3838"/>
          <w:sz w:val="18"/>
        </w:rPr>
        <w:t>Journal</w:t>
      </w:r>
      <w:r>
        <w:rPr>
          <w:i/>
          <w:color w:val="3B3838"/>
          <w:spacing w:val="-6"/>
          <w:sz w:val="18"/>
        </w:rPr>
        <w:t> </w:t>
      </w:r>
      <w:r>
        <w:rPr>
          <w:i/>
          <w:color w:val="3B3838"/>
          <w:sz w:val="18"/>
        </w:rPr>
        <w:t>of</w:t>
      </w:r>
      <w:r>
        <w:rPr>
          <w:i/>
          <w:color w:val="3B3838"/>
          <w:spacing w:val="-5"/>
          <w:sz w:val="18"/>
        </w:rPr>
        <w:t> </w:t>
      </w:r>
      <w:r>
        <w:rPr>
          <w:i/>
          <w:color w:val="3B3838"/>
          <w:sz w:val="18"/>
        </w:rPr>
        <w:t>Business</w:t>
      </w:r>
      <w:r>
        <w:rPr>
          <w:i/>
          <w:color w:val="3B3838"/>
          <w:spacing w:val="-2"/>
          <w:sz w:val="18"/>
        </w:rPr>
        <w:t> </w:t>
      </w:r>
      <w:r>
        <w:rPr>
          <w:i/>
          <w:color w:val="3B3838"/>
          <w:sz w:val="18"/>
        </w:rPr>
        <w:t>Studies</w:t>
      </w:r>
      <w:r>
        <w:rPr>
          <w:i/>
          <w:color w:val="3B3838"/>
          <w:spacing w:val="51"/>
          <w:sz w:val="18"/>
        </w:rPr>
        <w:t> </w:t>
      </w:r>
      <w:r>
        <w:rPr>
          <w:i/>
          <w:color w:val="111313"/>
          <w:sz w:val="18"/>
        </w:rPr>
        <w:t>IO</w:t>
      </w:r>
      <w:r>
        <w:rPr>
          <w:i/>
          <w:color w:val="111313"/>
          <w:spacing w:val="-11"/>
          <w:sz w:val="18"/>
        </w:rPr>
        <w:t> </w:t>
      </w:r>
      <w:r>
        <w:rPr>
          <w:i/>
          <w:color w:val="3B3838"/>
          <w:sz w:val="18"/>
        </w:rPr>
        <w:t>(2023)</w:t>
      </w:r>
      <w:r>
        <w:rPr>
          <w:i/>
          <w:color w:val="3B3838"/>
          <w:spacing w:val="-9"/>
          <w:sz w:val="18"/>
        </w:rPr>
        <w:t> </w:t>
      </w:r>
      <w:r>
        <w:rPr>
          <w:i/>
          <w:color w:val="3B3838"/>
          <w:sz w:val="18"/>
        </w:rPr>
        <w:t>5</w:t>
      </w:r>
      <w:r>
        <w:rPr>
          <w:color w:val="3B3838"/>
          <w:sz w:val="18"/>
        </w:rPr>
        <w:t>7</w:t>
      </w:r>
      <w:r>
        <w:rPr>
          <w:color w:val="111313"/>
          <w:sz w:val="18"/>
        </w:rPr>
        <w:t>-</w:t>
      </w:r>
      <w:r>
        <w:rPr>
          <w:i/>
          <w:color w:val="3B3838"/>
          <w:spacing w:val="-7"/>
          <w:sz w:val="18"/>
        </w:rPr>
        <w:t>77</w:t>
      </w:r>
    </w:p>
    <w:p>
      <w:pPr>
        <w:pStyle w:val="BodyText"/>
        <w:spacing w:before="149"/>
        <w:rPr>
          <w:i/>
          <w:sz w:val="18"/>
        </w:rPr>
      </w:pPr>
    </w:p>
    <w:p>
      <w:pPr>
        <w:spacing w:before="0"/>
        <w:ind w:left="807" w:right="823" w:firstLine="0"/>
        <w:jc w:val="center"/>
        <w:rPr>
          <w:sz w:val="21"/>
        </w:rPr>
      </w:pPr>
      <w:r>
        <w:rPr>
          <w:b/>
          <w:color w:val="111313"/>
          <w:sz w:val="21"/>
        </w:rPr>
        <w:t>Table</w:t>
      </w:r>
      <w:r>
        <w:rPr>
          <w:b/>
          <w:color w:val="111313"/>
          <w:spacing w:val="1"/>
          <w:sz w:val="21"/>
        </w:rPr>
        <w:t> </w:t>
      </w:r>
      <w:r>
        <w:rPr>
          <w:b/>
          <w:color w:val="111313"/>
          <w:sz w:val="21"/>
        </w:rPr>
        <w:t>3:</w:t>
      </w:r>
      <w:r>
        <w:rPr>
          <w:b/>
          <w:color w:val="111313"/>
          <w:spacing w:val="2"/>
          <w:sz w:val="21"/>
        </w:rPr>
        <w:t> </w:t>
      </w:r>
      <w:r>
        <w:rPr>
          <w:color w:val="111313"/>
          <w:sz w:val="21"/>
        </w:rPr>
        <w:t>Model</w:t>
      </w:r>
      <w:r>
        <w:rPr>
          <w:color w:val="111313"/>
          <w:spacing w:val="6"/>
          <w:sz w:val="21"/>
        </w:rPr>
        <w:t> </w:t>
      </w:r>
      <w:r>
        <w:rPr>
          <w:color w:val="111313"/>
          <w:spacing w:val="-5"/>
          <w:sz w:val="21"/>
        </w:rPr>
        <w:t>Fit</w:t>
      </w:r>
    </w:p>
    <w:p>
      <w:pPr>
        <w:pStyle w:val="BodyText"/>
        <w:spacing w:before="3"/>
        <w:rPr>
          <w:sz w:val="13"/>
        </w:rPr>
      </w:pPr>
      <w:r>
        <w:rPr>
          <w:sz w:val="13"/>
        </w:rPr>
        <mc:AlternateContent>
          <mc:Choice Requires="wps">
            <w:drawing>
              <wp:anchor distT="0" distB="0" distL="0" distR="0" allowOverlap="1" layoutInCell="1" locked="0" behindDoc="1" simplePos="0" relativeHeight="487591424">
                <wp:simplePos x="0" y="0"/>
                <wp:positionH relativeFrom="page">
                  <wp:posOffset>1910969</wp:posOffset>
                </wp:positionH>
                <wp:positionV relativeFrom="paragraph">
                  <wp:posOffset>112607</wp:posOffset>
                </wp:positionV>
                <wp:extent cx="3473450" cy="17780"/>
                <wp:effectExtent l="0" t="0" r="0" b="0"/>
                <wp:wrapTopAndBottom/>
                <wp:docPr id="21" name="Graphic 21"/>
                <wp:cNvGraphicFramePr>
                  <a:graphicFrameLocks/>
                </wp:cNvGraphicFramePr>
                <a:graphic>
                  <a:graphicData uri="http://schemas.microsoft.com/office/word/2010/wordprocessingShape">
                    <wps:wsp>
                      <wps:cNvPr id="21" name="Graphic 21"/>
                      <wps:cNvSpPr/>
                      <wps:spPr>
                        <a:xfrm>
                          <a:off x="0" y="0"/>
                          <a:ext cx="3473450" cy="17780"/>
                        </a:xfrm>
                        <a:custGeom>
                          <a:avLst/>
                          <a:gdLst/>
                          <a:ahLst/>
                          <a:cxnLst/>
                          <a:rect l="l" t="t" r="r" b="b"/>
                          <a:pathLst>
                            <a:path w="3473450" h="17780">
                              <a:moveTo>
                                <a:pt x="3473119" y="0"/>
                              </a:moveTo>
                              <a:lnTo>
                                <a:pt x="2166988" y="0"/>
                              </a:lnTo>
                              <a:lnTo>
                                <a:pt x="0" y="0"/>
                              </a:lnTo>
                              <a:lnTo>
                                <a:pt x="0" y="17183"/>
                              </a:lnTo>
                              <a:lnTo>
                                <a:pt x="2166988" y="17183"/>
                              </a:lnTo>
                              <a:lnTo>
                                <a:pt x="3473119" y="17183"/>
                              </a:lnTo>
                              <a:lnTo>
                                <a:pt x="3473119" y="0"/>
                              </a:lnTo>
                              <a:close/>
                            </a:path>
                          </a:pathLst>
                        </a:custGeom>
                        <a:solidFill>
                          <a:srgbClr val="010202"/>
                        </a:solidFill>
                      </wps:spPr>
                      <wps:bodyPr wrap="square" lIns="0" tIns="0" rIns="0" bIns="0" rtlCol="0">
                        <a:prstTxWarp prst="textNoShape">
                          <a:avLst/>
                        </a:prstTxWarp>
                        <a:noAutofit/>
                      </wps:bodyPr>
                    </wps:wsp>
                  </a:graphicData>
                </a:graphic>
              </wp:anchor>
            </w:drawing>
          </mc:Choice>
          <mc:Fallback>
            <w:pict>
              <v:shape style="position:absolute;margin-left:150.470001pt;margin-top:8.866753pt;width:273.5pt;height:1.4pt;mso-position-horizontal-relative:page;mso-position-vertical-relative:paragraph;z-index:-15725056;mso-wrap-distance-left:0;mso-wrap-distance-right:0" id="docshape21" coordorigin="3009,177" coordsize="5470,28" path="m8479,177l6422,177,3009,177,3009,204,6422,204,8479,204,8479,177xe" filled="true" fillcolor="#010202" stroked="false">
                <v:path arrowok="t"/>
                <v:fill type="solid"/>
                <w10:wrap type="topAndBottom"/>
              </v:shape>
            </w:pict>
          </mc:Fallback>
        </mc:AlternateContent>
      </w:r>
    </w:p>
    <w:p>
      <w:pPr>
        <w:pStyle w:val="BodyText"/>
        <w:tabs>
          <w:tab w:pos="5291" w:val="left" w:leader="none"/>
        </w:tabs>
        <w:spacing w:before="11"/>
        <w:ind w:left="3268"/>
      </w:pPr>
      <w:r>
        <w:rPr>
          <w:color w:val="111313"/>
        </w:rPr>
        <w:t>Saturated</w:t>
      </w:r>
      <w:r>
        <w:rPr>
          <w:color w:val="111313"/>
          <w:spacing w:val="15"/>
        </w:rPr>
        <w:t> </w:t>
      </w:r>
      <w:r>
        <w:rPr>
          <w:color w:val="111313"/>
          <w:spacing w:val="-2"/>
        </w:rPr>
        <w:t>model</w:t>
      </w:r>
      <w:r>
        <w:rPr>
          <w:color w:val="111313"/>
        </w:rPr>
        <w:tab/>
        <w:t>Estimated</w:t>
      </w:r>
      <w:r>
        <w:rPr>
          <w:color w:val="111313"/>
          <w:spacing w:val="11"/>
        </w:rPr>
        <w:t> </w:t>
      </w:r>
      <w:r>
        <w:rPr>
          <w:color w:val="111313"/>
          <w:spacing w:val="-2"/>
        </w:rPr>
        <w:t>model</w:t>
      </w:r>
    </w:p>
    <w:p>
      <w:pPr>
        <w:pStyle w:val="BodyText"/>
        <w:spacing w:before="4"/>
        <w:rPr>
          <w:sz w:val="10"/>
        </w:rPr>
      </w:pPr>
    </w:p>
    <w:tbl>
      <w:tblPr>
        <w:tblW w:w="0" w:type="auto"/>
        <w:jc w:val="left"/>
        <w:tblInd w:w="1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452"/>
        <w:gridCol w:w="2364"/>
        <w:gridCol w:w="1245"/>
        <w:gridCol w:w="424"/>
      </w:tblGrid>
      <w:tr>
        <w:trPr>
          <w:trHeight w:val="323" w:hRule="atLeast"/>
        </w:trPr>
        <w:tc>
          <w:tcPr>
            <w:tcW w:w="1452" w:type="dxa"/>
            <w:tcBorders>
              <w:top w:val="single" w:sz="12" w:space="0" w:color="000000"/>
              <w:right w:val="single" w:sz="48" w:space="0" w:color="FFFFFF"/>
            </w:tcBorders>
            <w:shd w:val="clear" w:color="auto" w:fill="DFD8E8"/>
          </w:tcPr>
          <w:p>
            <w:pPr>
              <w:pStyle w:val="TableParagraph"/>
              <w:spacing w:before="13"/>
              <w:ind w:left="119"/>
              <w:rPr>
                <w:b/>
                <w:sz w:val="21"/>
              </w:rPr>
            </w:pPr>
            <w:r>
              <w:rPr>
                <w:b/>
                <w:sz w:val="21"/>
              </w:rPr>
              <mc:AlternateContent>
                <mc:Choice Requires="wps">
                  <w:drawing>
                    <wp:anchor distT="0" distB="0" distL="0" distR="0" allowOverlap="1" layoutInCell="1" locked="0" behindDoc="1" simplePos="0" relativeHeight="487076864">
                      <wp:simplePos x="0" y="0"/>
                      <wp:positionH relativeFrom="column">
                        <wp:posOffset>7811</wp:posOffset>
                      </wp:positionH>
                      <wp:positionV relativeFrom="paragraph">
                        <wp:posOffset>-521</wp:posOffset>
                      </wp:positionV>
                      <wp:extent cx="881380" cy="236220"/>
                      <wp:effectExtent l="0" t="0" r="0" b="0"/>
                      <wp:wrapNone/>
                      <wp:docPr id="22" name="Group 22"/>
                      <wp:cNvGraphicFramePr>
                        <a:graphicFrameLocks/>
                      </wp:cNvGraphicFramePr>
                      <a:graphic>
                        <a:graphicData uri="http://schemas.microsoft.com/office/word/2010/wordprocessingGroup">
                          <wpg:wgp>
                            <wpg:cNvPr id="22" name="Group 22"/>
                            <wpg:cNvGrpSpPr/>
                            <wpg:grpSpPr>
                              <a:xfrm>
                                <a:off x="0" y="0"/>
                                <a:ext cx="881380" cy="236220"/>
                                <a:chExt cx="881380" cy="236220"/>
                              </a:xfrm>
                            </wpg:grpSpPr>
                            <wps:wsp>
                              <wps:cNvPr id="23" name="Graphic 23"/>
                              <wps:cNvSpPr/>
                              <wps:spPr>
                                <a:xfrm>
                                  <a:off x="-3" y="0"/>
                                  <a:ext cx="881380" cy="236220"/>
                                </a:xfrm>
                                <a:custGeom>
                                  <a:avLst/>
                                  <a:gdLst/>
                                  <a:ahLst/>
                                  <a:cxnLst/>
                                  <a:rect l="l" t="t" r="r" b="b"/>
                                  <a:pathLst>
                                    <a:path w="881380" h="236220">
                                      <a:moveTo>
                                        <a:pt x="881176" y="1574"/>
                                      </a:moveTo>
                                      <a:lnTo>
                                        <a:pt x="815555" y="1574"/>
                                      </a:lnTo>
                                      <a:lnTo>
                                        <a:pt x="815555" y="0"/>
                                      </a:lnTo>
                                      <a:lnTo>
                                        <a:pt x="65620" y="0"/>
                                      </a:lnTo>
                                      <a:lnTo>
                                        <a:pt x="65620" y="1574"/>
                                      </a:lnTo>
                                      <a:lnTo>
                                        <a:pt x="0" y="1574"/>
                                      </a:lnTo>
                                      <a:lnTo>
                                        <a:pt x="0" y="235927"/>
                                      </a:lnTo>
                                      <a:lnTo>
                                        <a:pt x="65620" y="235927"/>
                                      </a:lnTo>
                                      <a:lnTo>
                                        <a:pt x="67183" y="235927"/>
                                      </a:lnTo>
                                      <a:lnTo>
                                        <a:pt x="815555" y="235927"/>
                                      </a:lnTo>
                                      <a:lnTo>
                                        <a:pt x="881176" y="235927"/>
                                      </a:lnTo>
                                      <a:lnTo>
                                        <a:pt x="881176" y="1574"/>
                                      </a:lnTo>
                                      <a:close/>
                                    </a:path>
                                  </a:pathLst>
                                </a:custGeom>
                                <a:solidFill>
                                  <a:srgbClr val="DFD8E8"/>
                                </a:solidFill>
                              </wps:spPr>
                              <wps:bodyPr wrap="square" lIns="0" tIns="0" rIns="0" bIns="0" rtlCol="0">
                                <a:prstTxWarp prst="textNoShape">
                                  <a:avLst/>
                                </a:prstTxWarp>
                                <a:noAutofit/>
                              </wps:bodyPr>
                            </wps:wsp>
                          </wpg:wgp>
                        </a:graphicData>
                      </a:graphic>
                    </wp:anchor>
                  </w:drawing>
                </mc:Choice>
                <mc:Fallback>
                  <w:pict>
                    <v:group style="position:absolute;margin-left:.6151pt;margin-top:-.041061pt;width:69.4pt;height:18.6pt;mso-position-horizontal-relative:column;mso-position-vertical-relative:paragraph;z-index:-16239616" id="docshapegroup22" coordorigin="12,-1" coordsize="1388,372">
                      <v:shape style="position:absolute;left:12;top:-1;width:1388;height:372" id="docshape23" coordorigin="12,-1" coordsize="1388,372" path="m1400,2l1297,2,1297,-1,116,-1,116,2,12,2,12,371,116,371,118,371,1297,371,1400,371,1400,2xe" filled="true" fillcolor="#dfd8e8" stroked="false">
                        <v:path arrowok="t"/>
                        <v:fill type="solid"/>
                      </v:shape>
                      <w10:wrap type="none"/>
                    </v:group>
                  </w:pict>
                </mc:Fallback>
              </mc:AlternateContent>
            </w:r>
            <w:r>
              <w:rPr>
                <w:b/>
                <w:color w:val="111313"/>
                <w:spacing w:val="-4"/>
                <w:sz w:val="21"/>
              </w:rPr>
              <w:t>SRMR</w:t>
            </w:r>
          </w:p>
        </w:tc>
        <w:tc>
          <w:tcPr>
            <w:tcW w:w="2364" w:type="dxa"/>
            <w:tcBorders>
              <w:top w:val="single" w:sz="12" w:space="0" w:color="000000"/>
              <w:left w:val="single" w:sz="48" w:space="0" w:color="FFFFFF"/>
            </w:tcBorders>
          </w:tcPr>
          <w:p>
            <w:pPr>
              <w:pStyle w:val="TableParagraph"/>
              <w:spacing w:before="13"/>
              <w:ind w:left="659"/>
              <w:rPr>
                <w:sz w:val="21"/>
              </w:rPr>
            </w:pPr>
            <w:r>
              <w:rPr>
                <w:sz w:val="21"/>
              </w:rPr>
              <mc:AlternateContent>
                <mc:Choice Requires="wps">
                  <w:drawing>
                    <wp:anchor distT="0" distB="0" distL="0" distR="0" allowOverlap="1" layoutInCell="1" locked="0" behindDoc="1" simplePos="0" relativeHeight="487077376">
                      <wp:simplePos x="0" y="0"/>
                      <wp:positionH relativeFrom="column">
                        <wp:posOffset>32808</wp:posOffset>
                      </wp:positionH>
                      <wp:positionV relativeFrom="paragraph">
                        <wp:posOffset>-521</wp:posOffset>
                      </wp:positionV>
                      <wp:extent cx="1137920" cy="236220"/>
                      <wp:effectExtent l="0" t="0" r="0" b="0"/>
                      <wp:wrapNone/>
                      <wp:docPr id="24" name="Group 24"/>
                      <wp:cNvGraphicFramePr>
                        <a:graphicFrameLocks/>
                      </wp:cNvGraphicFramePr>
                      <a:graphic>
                        <a:graphicData uri="http://schemas.microsoft.com/office/word/2010/wordprocessingGroup">
                          <wpg:wgp>
                            <wpg:cNvPr id="24" name="Group 24"/>
                            <wpg:cNvGrpSpPr/>
                            <wpg:grpSpPr>
                              <a:xfrm>
                                <a:off x="0" y="0"/>
                                <a:ext cx="1137920" cy="236220"/>
                                <a:chExt cx="1137920" cy="236220"/>
                              </a:xfrm>
                            </wpg:grpSpPr>
                            <wps:wsp>
                              <wps:cNvPr id="25" name="Graphic 25"/>
                              <wps:cNvSpPr/>
                              <wps:spPr>
                                <a:xfrm>
                                  <a:off x="0" y="0"/>
                                  <a:ext cx="1137920" cy="236220"/>
                                </a:xfrm>
                                <a:custGeom>
                                  <a:avLst/>
                                  <a:gdLst/>
                                  <a:ahLst/>
                                  <a:cxnLst/>
                                  <a:rect l="l" t="t" r="r" b="b"/>
                                  <a:pathLst>
                                    <a:path w="1137920" h="236220">
                                      <a:moveTo>
                                        <a:pt x="1137401" y="0"/>
                                      </a:moveTo>
                                      <a:lnTo>
                                        <a:pt x="0" y="0"/>
                                      </a:lnTo>
                                      <a:lnTo>
                                        <a:pt x="0" y="235919"/>
                                      </a:lnTo>
                                      <a:lnTo>
                                        <a:pt x="1137401" y="235919"/>
                                      </a:lnTo>
                                      <a:lnTo>
                                        <a:pt x="1137401" y="0"/>
                                      </a:lnTo>
                                      <a:close/>
                                    </a:path>
                                  </a:pathLst>
                                </a:custGeom>
                                <a:solidFill>
                                  <a:srgbClr val="DFD8E8"/>
                                </a:solidFill>
                              </wps:spPr>
                              <wps:bodyPr wrap="square" lIns="0" tIns="0" rIns="0" bIns="0" rtlCol="0">
                                <a:prstTxWarp prst="textNoShape">
                                  <a:avLst/>
                                </a:prstTxWarp>
                                <a:noAutofit/>
                              </wps:bodyPr>
                            </wps:wsp>
                          </wpg:wgp>
                        </a:graphicData>
                      </a:graphic>
                    </wp:anchor>
                  </w:drawing>
                </mc:Choice>
                <mc:Fallback>
                  <w:pict>
                    <v:group style="position:absolute;margin-left:2.583350pt;margin-top:-.041061pt;width:89.6pt;height:18.6pt;mso-position-horizontal-relative:column;mso-position-vertical-relative:paragraph;z-index:-16239104" id="docshapegroup24" coordorigin="52,-1" coordsize="1792,372">
                      <v:rect style="position:absolute;left:51;top:-1;width:1792;height:372" id="docshape25" filled="true" fillcolor="#dfd8e8" stroked="false">
                        <v:fill type="solid"/>
                      </v:rect>
                      <w10:wrap type="none"/>
                    </v:group>
                  </w:pict>
                </mc:Fallback>
              </mc:AlternateContent>
            </w:r>
            <w:r>
              <w:rPr>
                <w:color w:val="111313"/>
                <w:spacing w:val="-2"/>
                <w:sz w:val="21"/>
              </w:rPr>
              <w:t>0.072</w:t>
            </w:r>
          </w:p>
        </w:tc>
        <w:tc>
          <w:tcPr>
            <w:tcW w:w="1245" w:type="dxa"/>
            <w:tcBorders>
              <w:top w:val="single" w:sz="12" w:space="0" w:color="000000"/>
            </w:tcBorders>
          </w:tcPr>
          <w:p>
            <w:pPr>
              <w:pStyle w:val="TableParagraph"/>
              <w:spacing w:before="13"/>
              <w:ind w:left="30" w:right="5"/>
              <w:jc w:val="center"/>
              <w:rPr>
                <w:sz w:val="21"/>
              </w:rPr>
            </w:pPr>
            <w:r>
              <w:rPr>
                <w:sz w:val="21"/>
              </w:rPr>
              <mc:AlternateContent>
                <mc:Choice Requires="wps">
                  <w:drawing>
                    <wp:anchor distT="0" distB="0" distL="0" distR="0" allowOverlap="1" layoutInCell="1" locked="0" behindDoc="1" simplePos="0" relativeHeight="487077888">
                      <wp:simplePos x="0" y="0"/>
                      <wp:positionH relativeFrom="column">
                        <wp:posOffset>-198137</wp:posOffset>
                      </wp:positionH>
                      <wp:positionV relativeFrom="paragraph">
                        <wp:posOffset>-521</wp:posOffset>
                      </wp:positionV>
                      <wp:extent cx="1192530" cy="236220"/>
                      <wp:effectExtent l="0" t="0" r="0" b="0"/>
                      <wp:wrapNone/>
                      <wp:docPr id="26" name="Group 26"/>
                      <wp:cNvGraphicFramePr>
                        <a:graphicFrameLocks/>
                      </wp:cNvGraphicFramePr>
                      <a:graphic>
                        <a:graphicData uri="http://schemas.microsoft.com/office/word/2010/wordprocessingGroup">
                          <wpg:wgp>
                            <wpg:cNvPr id="26" name="Group 26"/>
                            <wpg:cNvGrpSpPr/>
                            <wpg:grpSpPr>
                              <a:xfrm>
                                <a:off x="0" y="0"/>
                                <a:ext cx="1192530" cy="236220"/>
                                <a:chExt cx="1192530" cy="236220"/>
                              </a:xfrm>
                            </wpg:grpSpPr>
                            <wps:wsp>
                              <wps:cNvPr id="27" name="Graphic 27"/>
                              <wps:cNvSpPr/>
                              <wps:spPr>
                                <a:xfrm>
                                  <a:off x="0" y="0"/>
                                  <a:ext cx="1192530" cy="236220"/>
                                </a:xfrm>
                                <a:custGeom>
                                  <a:avLst/>
                                  <a:gdLst/>
                                  <a:ahLst/>
                                  <a:cxnLst/>
                                  <a:rect l="l" t="t" r="r" b="b"/>
                                  <a:pathLst>
                                    <a:path w="1192530" h="236220">
                                      <a:moveTo>
                                        <a:pt x="1192079" y="0"/>
                                      </a:moveTo>
                                      <a:lnTo>
                                        <a:pt x="0" y="0"/>
                                      </a:lnTo>
                                      <a:lnTo>
                                        <a:pt x="0" y="235919"/>
                                      </a:lnTo>
                                      <a:lnTo>
                                        <a:pt x="1192079" y="235919"/>
                                      </a:lnTo>
                                      <a:lnTo>
                                        <a:pt x="1192079" y="0"/>
                                      </a:lnTo>
                                      <a:close/>
                                    </a:path>
                                  </a:pathLst>
                                </a:custGeom>
                                <a:solidFill>
                                  <a:srgbClr val="DFD8E8"/>
                                </a:solidFill>
                              </wps:spPr>
                              <wps:bodyPr wrap="square" lIns="0" tIns="0" rIns="0" bIns="0" rtlCol="0">
                                <a:prstTxWarp prst="textNoShape">
                                  <a:avLst/>
                                </a:prstTxWarp>
                                <a:noAutofit/>
                              </wps:bodyPr>
                            </wps:wsp>
                          </wpg:wgp>
                        </a:graphicData>
                      </a:graphic>
                    </wp:anchor>
                  </w:drawing>
                </mc:Choice>
                <mc:Fallback>
                  <w:pict>
                    <v:group style="position:absolute;margin-left:-15.6014pt;margin-top:-.041061pt;width:93.9pt;height:18.6pt;mso-position-horizontal-relative:column;mso-position-vertical-relative:paragraph;z-index:-16238592" id="docshapegroup26" coordorigin="-312,-1" coordsize="1878,372">
                      <v:rect style="position:absolute;left:-313;top:-1;width:1878;height:372" id="docshape27" filled="true" fillcolor="#dfd8e8" stroked="false">
                        <v:fill type="solid"/>
                      </v:rect>
                      <w10:wrap type="none"/>
                    </v:group>
                  </w:pict>
                </mc:Fallback>
              </mc:AlternateContent>
            </w:r>
            <w:r>
              <w:rPr>
                <w:color w:val="111313"/>
                <w:spacing w:val="-2"/>
                <w:sz w:val="21"/>
              </w:rPr>
              <w:t>0.072</w:t>
            </w:r>
          </w:p>
        </w:tc>
        <w:tc>
          <w:tcPr>
            <w:tcW w:w="424" w:type="dxa"/>
            <w:tcBorders>
              <w:top w:val="single" w:sz="12" w:space="0" w:color="000000"/>
            </w:tcBorders>
          </w:tcPr>
          <w:p>
            <w:pPr>
              <w:pStyle w:val="TableParagraph"/>
              <w:rPr>
                <w:sz w:val="20"/>
              </w:rPr>
            </w:pPr>
          </w:p>
        </w:tc>
      </w:tr>
      <w:tr>
        <w:trPr>
          <w:trHeight w:val="370" w:hRule="atLeast"/>
        </w:trPr>
        <w:tc>
          <w:tcPr>
            <w:tcW w:w="1452" w:type="dxa"/>
            <w:tcBorders>
              <w:right w:val="single" w:sz="48" w:space="0" w:color="FFFFFF"/>
            </w:tcBorders>
            <w:shd w:val="clear" w:color="auto" w:fill="DFD8E8"/>
          </w:tcPr>
          <w:p>
            <w:pPr>
              <w:pStyle w:val="TableParagraph"/>
              <w:spacing w:before="60"/>
              <w:ind w:left="122"/>
              <w:rPr>
                <w:b/>
                <w:sz w:val="21"/>
              </w:rPr>
            </w:pPr>
            <w:r>
              <w:rPr>
                <w:b/>
                <w:color w:val="111313"/>
                <w:sz w:val="21"/>
              </w:rPr>
              <w:t>d</w:t>
            </w:r>
            <w:r>
              <w:rPr>
                <w:b/>
                <w:color w:val="111313"/>
                <w:spacing w:val="54"/>
                <w:sz w:val="21"/>
              </w:rPr>
              <w:t> </w:t>
            </w:r>
            <w:r>
              <w:rPr>
                <w:b/>
                <w:color w:val="111313"/>
                <w:spacing w:val="-5"/>
                <w:sz w:val="21"/>
              </w:rPr>
              <w:t>ULS</w:t>
            </w:r>
          </w:p>
        </w:tc>
        <w:tc>
          <w:tcPr>
            <w:tcW w:w="2364" w:type="dxa"/>
            <w:tcBorders>
              <w:left w:val="single" w:sz="48" w:space="0" w:color="FFFFFF"/>
            </w:tcBorders>
          </w:tcPr>
          <w:p>
            <w:pPr>
              <w:pStyle w:val="TableParagraph"/>
              <w:spacing w:before="60"/>
              <w:ind w:left="659"/>
              <w:rPr>
                <w:sz w:val="21"/>
              </w:rPr>
            </w:pPr>
            <w:r>
              <w:rPr>
                <w:color w:val="111313"/>
                <w:spacing w:val="-2"/>
                <w:sz w:val="21"/>
              </w:rPr>
              <w:t>0.405</w:t>
            </w:r>
          </w:p>
        </w:tc>
        <w:tc>
          <w:tcPr>
            <w:tcW w:w="1245" w:type="dxa"/>
          </w:tcPr>
          <w:p>
            <w:pPr>
              <w:pStyle w:val="TableParagraph"/>
              <w:spacing w:before="60"/>
              <w:ind w:left="30" w:right="5"/>
              <w:jc w:val="center"/>
              <w:rPr>
                <w:sz w:val="21"/>
              </w:rPr>
            </w:pPr>
            <w:r>
              <w:rPr>
                <w:color w:val="111313"/>
                <w:spacing w:val="-2"/>
                <w:sz w:val="21"/>
              </w:rPr>
              <w:t>0.405</w:t>
            </w:r>
          </w:p>
        </w:tc>
        <w:tc>
          <w:tcPr>
            <w:tcW w:w="424" w:type="dxa"/>
          </w:tcPr>
          <w:p>
            <w:pPr>
              <w:pStyle w:val="TableParagraph"/>
              <w:rPr>
                <w:sz w:val="20"/>
              </w:rPr>
            </w:pPr>
          </w:p>
        </w:tc>
      </w:tr>
      <w:tr>
        <w:trPr>
          <w:trHeight w:val="372" w:hRule="atLeast"/>
        </w:trPr>
        <w:tc>
          <w:tcPr>
            <w:tcW w:w="1452" w:type="dxa"/>
            <w:tcBorders>
              <w:right w:val="single" w:sz="48" w:space="0" w:color="FFFFFF"/>
            </w:tcBorders>
            <w:shd w:val="clear" w:color="auto" w:fill="DFD8E8"/>
          </w:tcPr>
          <w:p>
            <w:pPr>
              <w:pStyle w:val="TableParagraph"/>
              <w:spacing w:before="64"/>
              <w:ind w:left="122"/>
              <w:rPr>
                <w:b/>
                <w:sz w:val="21"/>
              </w:rPr>
            </w:pPr>
            <w:r>
              <w:rPr>
                <w:b/>
                <w:color w:val="111313"/>
                <w:sz w:val="21"/>
              </w:rPr>
              <w:t>d</w:t>
            </w:r>
            <w:r>
              <w:rPr>
                <w:b/>
                <w:color w:val="111313"/>
                <w:spacing w:val="55"/>
                <w:sz w:val="21"/>
              </w:rPr>
              <w:t> </w:t>
            </w:r>
            <w:r>
              <w:rPr>
                <w:b/>
                <w:color w:val="111313"/>
                <w:spacing w:val="-10"/>
                <w:sz w:val="21"/>
              </w:rPr>
              <w:t>G</w:t>
            </w:r>
          </w:p>
        </w:tc>
        <w:tc>
          <w:tcPr>
            <w:tcW w:w="2364" w:type="dxa"/>
            <w:tcBorders>
              <w:left w:val="single" w:sz="48" w:space="0" w:color="FFFFFF"/>
            </w:tcBorders>
          </w:tcPr>
          <w:p>
            <w:pPr>
              <w:pStyle w:val="TableParagraph"/>
              <w:tabs>
                <w:tab w:pos="1119" w:val="left" w:leader="none"/>
              </w:tabs>
              <w:spacing w:line="352" w:lineRule="exact"/>
              <w:ind w:right="343"/>
              <w:jc w:val="right"/>
              <w:rPr>
                <w:position w:val="-12"/>
                <w:sz w:val="54"/>
              </w:rPr>
            </w:pPr>
            <w:r>
              <w:rPr>
                <w:color w:val="111313"/>
                <w:spacing w:val="-2"/>
                <w:sz w:val="21"/>
              </w:rPr>
              <w:t>0.141</w:t>
            </w:r>
            <w:r>
              <w:rPr>
                <w:color w:val="111313"/>
                <w:sz w:val="21"/>
              </w:rPr>
              <w:tab/>
            </w:r>
            <w:r>
              <w:rPr>
                <w:color w:val="DFD8E8"/>
                <w:spacing w:val="-10"/>
                <w:position w:val="-12"/>
                <w:sz w:val="54"/>
              </w:rPr>
              <w:t>I</w:t>
            </w:r>
          </w:p>
        </w:tc>
        <w:tc>
          <w:tcPr>
            <w:tcW w:w="1245" w:type="dxa"/>
          </w:tcPr>
          <w:p>
            <w:pPr>
              <w:pStyle w:val="TableParagraph"/>
              <w:spacing w:before="60"/>
              <w:ind w:left="30"/>
              <w:jc w:val="center"/>
              <w:rPr>
                <w:sz w:val="21"/>
              </w:rPr>
            </w:pPr>
            <w:r>
              <w:rPr>
                <w:sz w:val="21"/>
              </w:rPr>
              <mc:AlternateContent>
                <mc:Choice Requires="wps">
                  <w:drawing>
                    <wp:anchor distT="0" distB="0" distL="0" distR="0" allowOverlap="1" layoutInCell="1" locked="0" behindDoc="1" simplePos="0" relativeHeight="487078400">
                      <wp:simplePos x="0" y="0"/>
                      <wp:positionH relativeFrom="column">
                        <wp:posOffset>-198137</wp:posOffset>
                      </wp:positionH>
                      <wp:positionV relativeFrom="paragraph">
                        <wp:posOffset>31170</wp:posOffset>
                      </wp:positionV>
                      <wp:extent cx="1192530" cy="233045"/>
                      <wp:effectExtent l="0" t="0" r="0" b="0"/>
                      <wp:wrapNone/>
                      <wp:docPr id="28" name="Group 28"/>
                      <wp:cNvGraphicFramePr>
                        <a:graphicFrameLocks/>
                      </wp:cNvGraphicFramePr>
                      <a:graphic>
                        <a:graphicData uri="http://schemas.microsoft.com/office/word/2010/wordprocessingGroup">
                          <wpg:wgp>
                            <wpg:cNvPr id="28" name="Group 28"/>
                            <wpg:cNvGrpSpPr/>
                            <wpg:grpSpPr>
                              <a:xfrm>
                                <a:off x="0" y="0"/>
                                <a:ext cx="1192530" cy="233045"/>
                                <a:chExt cx="1192530" cy="233045"/>
                              </a:xfrm>
                            </wpg:grpSpPr>
                            <wps:wsp>
                              <wps:cNvPr id="29" name="Graphic 29"/>
                              <wps:cNvSpPr/>
                              <wps:spPr>
                                <a:xfrm>
                                  <a:off x="0" y="0"/>
                                  <a:ext cx="1192530" cy="233045"/>
                                </a:xfrm>
                                <a:custGeom>
                                  <a:avLst/>
                                  <a:gdLst/>
                                  <a:ahLst/>
                                  <a:cxnLst/>
                                  <a:rect l="l" t="t" r="r" b="b"/>
                                  <a:pathLst>
                                    <a:path w="1192530" h="233045">
                                      <a:moveTo>
                                        <a:pt x="1192079" y="0"/>
                                      </a:moveTo>
                                      <a:lnTo>
                                        <a:pt x="0" y="0"/>
                                      </a:lnTo>
                                      <a:lnTo>
                                        <a:pt x="0" y="232793"/>
                                      </a:lnTo>
                                      <a:lnTo>
                                        <a:pt x="1192079" y="232793"/>
                                      </a:lnTo>
                                      <a:lnTo>
                                        <a:pt x="1192079" y="0"/>
                                      </a:lnTo>
                                      <a:close/>
                                    </a:path>
                                  </a:pathLst>
                                </a:custGeom>
                                <a:solidFill>
                                  <a:srgbClr val="DFD8E8"/>
                                </a:solidFill>
                              </wps:spPr>
                              <wps:bodyPr wrap="square" lIns="0" tIns="0" rIns="0" bIns="0" rtlCol="0">
                                <a:prstTxWarp prst="textNoShape">
                                  <a:avLst/>
                                </a:prstTxWarp>
                                <a:noAutofit/>
                              </wps:bodyPr>
                            </wps:wsp>
                          </wpg:wgp>
                        </a:graphicData>
                      </a:graphic>
                    </wp:anchor>
                  </w:drawing>
                </mc:Choice>
                <mc:Fallback>
                  <w:pict>
                    <v:group style="position:absolute;margin-left:-15.6014pt;margin-top:2.454342pt;width:93.9pt;height:18.350pt;mso-position-horizontal-relative:column;mso-position-vertical-relative:paragraph;z-index:-16238080" id="docshapegroup28" coordorigin="-312,49" coordsize="1878,367">
                      <v:rect style="position:absolute;left:-313;top:49;width:1878;height:367" id="docshape29" filled="true" fillcolor="#dfd8e8" stroked="false">
                        <v:fill type="solid"/>
                      </v:rect>
                      <w10:wrap type="none"/>
                    </v:group>
                  </w:pict>
                </mc:Fallback>
              </mc:AlternateContent>
            </w:r>
            <w:r>
              <w:rPr>
                <w:color w:val="111313"/>
                <w:spacing w:val="-2"/>
                <w:sz w:val="21"/>
              </w:rPr>
              <w:t>0.141</w:t>
            </w:r>
          </w:p>
        </w:tc>
        <w:tc>
          <w:tcPr>
            <w:tcW w:w="424" w:type="dxa"/>
          </w:tcPr>
          <w:p>
            <w:pPr>
              <w:pStyle w:val="TableParagraph"/>
              <w:spacing w:line="352" w:lineRule="exact"/>
              <w:ind w:right="-29"/>
              <w:jc w:val="right"/>
              <w:rPr>
                <w:sz w:val="54"/>
              </w:rPr>
            </w:pPr>
            <w:r>
              <w:rPr>
                <w:color w:val="DFD8E8"/>
                <w:spacing w:val="-10"/>
                <w:w w:val="75"/>
                <w:sz w:val="54"/>
              </w:rPr>
              <w:t>I</w:t>
            </w:r>
          </w:p>
        </w:tc>
      </w:tr>
      <w:tr>
        <w:trPr>
          <w:trHeight w:val="365" w:hRule="atLeast"/>
        </w:trPr>
        <w:tc>
          <w:tcPr>
            <w:tcW w:w="1452" w:type="dxa"/>
            <w:tcBorders>
              <w:right w:val="single" w:sz="48" w:space="0" w:color="FFFFFF"/>
            </w:tcBorders>
            <w:shd w:val="clear" w:color="auto" w:fill="DFD8E8"/>
          </w:tcPr>
          <w:p>
            <w:pPr>
              <w:pStyle w:val="TableParagraph"/>
              <w:spacing w:before="57"/>
              <w:ind w:left="122"/>
              <w:rPr>
                <w:b/>
                <w:sz w:val="21"/>
              </w:rPr>
            </w:pPr>
            <w:r>
              <w:rPr>
                <w:b/>
                <w:sz w:val="21"/>
              </w:rPr>
              <mc:AlternateContent>
                <mc:Choice Requires="wps">
                  <w:drawing>
                    <wp:anchor distT="0" distB="0" distL="0" distR="0" allowOverlap="1" layoutInCell="1" locked="0" behindDoc="0" simplePos="0" relativeHeight="15736832">
                      <wp:simplePos x="0" y="0"/>
                      <wp:positionH relativeFrom="column">
                        <wp:posOffset>75290</wp:posOffset>
                      </wp:positionH>
                      <wp:positionV relativeFrom="paragraph">
                        <wp:posOffset>321793</wp:posOffset>
                      </wp:positionV>
                      <wp:extent cx="229235" cy="92075"/>
                      <wp:effectExtent l="0" t="0" r="0" b="0"/>
                      <wp:wrapNone/>
                      <wp:docPr id="30" name="Group 30"/>
                      <wp:cNvGraphicFramePr>
                        <a:graphicFrameLocks/>
                      </wp:cNvGraphicFramePr>
                      <a:graphic>
                        <a:graphicData uri="http://schemas.microsoft.com/office/word/2010/wordprocessingGroup">
                          <wpg:wgp>
                            <wpg:cNvPr id="30" name="Group 30"/>
                            <wpg:cNvGrpSpPr/>
                            <wpg:grpSpPr>
                              <a:xfrm>
                                <a:off x="0" y="0"/>
                                <a:ext cx="229235" cy="92075"/>
                                <a:chExt cx="229235" cy="92075"/>
                              </a:xfrm>
                            </wpg:grpSpPr>
                            <pic:pic>
                              <pic:nvPicPr>
                                <pic:cNvPr id="31" name="Image 31"/>
                                <pic:cNvPicPr/>
                              </pic:nvPicPr>
                              <pic:blipFill>
                                <a:blip r:embed="rId7" cstate="print"/>
                                <a:stretch>
                                  <a:fillRect/>
                                </a:stretch>
                              </pic:blipFill>
                              <pic:spPr>
                                <a:xfrm>
                                  <a:off x="0" y="0"/>
                                  <a:ext cx="230315" cy="92297"/>
                                </a:xfrm>
                                <a:prstGeom prst="rect">
                                  <a:avLst/>
                                </a:prstGeom>
                              </pic:spPr>
                            </pic:pic>
                          </wpg:wgp>
                        </a:graphicData>
                      </a:graphic>
                    </wp:anchor>
                  </w:drawing>
                </mc:Choice>
                <mc:Fallback>
                  <w:pict>
                    <v:group style="position:absolute;margin-left:5.9284pt;margin-top:25.338062pt;width:18.05pt;height:7.25pt;mso-position-horizontal-relative:column;mso-position-vertical-relative:paragraph;z-index:15736832" id="docshapegroup30" coordorigin="119,507" coordsize="361,145">
                      <v:shape style="position:absolute;left:118;top:506;width:363;height:146" type="#_x0000_t75" id="docshape31" stroked="false">
                        <v:imagedata r:id="rId7" o:title=""/>
                      </v:shape>
                      <w10:wrap type="none"/>
                    </v:group>
                  </w:pict>
                </mc:Fallback>
              </mc:AlternateContent>
            </w:r>
            <w:r>
              <w:rPr>
                <w:b/>
                <w:color w:val="111313"/>
                <w:spacing w:val="-2"/>
                <w:sz w:val="21"/>
              </w:rPr>
              <w:t>Chi-square</w:t>
            </w:r>
          </w:p>
        </w:tc>
        <w:tc>
          <w:tcPr>
            <w:tcW w:w="2364" w:type="dxa"/>
            <w:tcBorders>
              <w:left w:val="single" w:sz="48" w:space="0" w:color="FFFFFF"/>
            </w:tcBorders>
          </w:tcPr>
          <w:p>
            <w:pPr>
              <w:pStyle w:val="TableParagraph"/>
              <w:spacing w:before="57"/>
              <w:ind w:left="600"/>
              <w:rPr>
                <w:sz w:val="21"/>
              </w:rPr>
            </w:pPr>
            <w:r>
              <w:rPr>
                <w:color w:val="111313"/>
                <w:spacing w:val="-2"/>
                <w:sz w:val="21"/>
              </w:rPr>
              <w:t>335.03</w:t>
            </w:r>
          </w:p>
        </w:tc>
        <w:tc>
          <w:tcPr>
            <w:tcW w:w="1245" w:type="dxa"/>
          </w:tcPr>
          <w:p>
            <w:pPr>
              <w:pStyle w:val="TableParagraph"/>
              <w:spacing w:before="57"/>
              <w:ind w:left="30" w:right="7"/>
              <w:jc w:val="center"/>
              <w:rPr>
                <w:sz w:val="21"/>
              </w:rPr>
            </w:pPr>
            <w:r>
              <w:rPr>
                <w:color w:val="111313"/>
                <w:spacing w:val="-2"/>
                <w:sz w:val="21"/>
              </w:rPr>
              <w:t>335.03</w:t>
            </w:r>
          </w:p>
        </w:tc>
        <w:tc>
          <w:tcPr>
            <w:tcW w:w="424" w:type="dxa"/>
          </w:tcPr>
          <w:p>
            <w:pPr>
              <w:pStyle w:val="TableParagraph"/>
              <w:rPr>
                <w:sz w:val="20"/>
              </w:rPr>
            </w:pPr>
          </w:p>
        </w:tc>
      </w:tr>
      <w:tr>
        <w:trPr>
          <w:trHeight w:val="421" w:hRule="atLeast"/>
        </w:trPr>
        <w:tc>
          <w:tcPr>
            <w:tcW w:w="1452" w:type="dxa"/>
            <w:tcBorders>
              <w:bottom w:val="single" w:sz="12" w:space="0" w:color="010202"/>
              <w:right w:val="single" w:sz="48" w:space="0" w:color="FFFFFF"/>
            </w:tcBorders>
            <w:shd w:val="clear" w:color="auto" w:fill="DFD8E8"/>
          </w:tcPr>
          <w:p>
            <w:pPr>
              <w:pStyle w:val="TableParagraph"/>
              <w:spacing w:before="3"/>
              <w:rPr>
                <w:sz w:val="4"/>
              </w:rPr>
            </w:pPr>
          </w:p>
          <w:p>
            <w:pPr>
              <w:pStyle w:val="TableParagraph"/>
              <w:ind w:left="12" w:right="-72"/>
              <w:rPr>
                <w:sz w:val="20"/>
              </w:rPr>
            </w:pPr>
            <w:r>
              <w:rPr>
                <w:sz w:val="20"/>
              </w:rPr>
              <mc:AlternateContent>
                <mc:Choice Requires="wps">
                  <w:drawing>
                    <wp:inline distT="0" distB="0" distL="0" distR="0">
                      <wp:extent cx="881380" cy="236220"/>
                      <wp:effectExtent l="0" t="0" r="0" b="0"/>
                      <wp:docPr id="32" name="Group 32"/>
                      <wp:cNvGraphicFramePr>
                        <a:graphicFrameLocks/>
                      </wp:cNvGraphicFramePr>
                      <a:graphic>
                        <a:graphicData uri="http://schemas.microsoft.com/office/word/2010/wordprocessingGroup">
                          <wpg:wgp>
                            <wpg:cNvPr id="32" name="Group 32"/>
                            <wpg:cNvGrpSpPr/>
                            <wpg:grpSpPr>
                              <a:xfrm>
                                <a:off x="0" y="0"/>
                                <a:ext cx="881380" cy="236220"/>
                                <a:chExt cx="881380" cy="236220"/>
                              </a:xfrm>
                            </wpg:grpSpPr>
                            <wps:wsp>
                              <wps:cNvPr id="33" name="Graphic 33"/>
                              <wps:cNvSpPr/>
                              <wps:spPr>
                                <a:xfrm>
                                  <a:off x="-3" y="7"/>
                                  <a:ext cx="881380" cy="236220"/>
                                </a:xfrm>
                                <a:custGeom>
                                  <a:avLst/>
                                  <a:gdLst/>
                                  <a:ahLst/>
                                  <a:cxnLst/>
                                  <a:rect l="l" t="t" r="r" b="b"/>
                                  <a:pathLst>
                                    <a:path w="881380" h="236220">
                                      <a:moveTo>
                                        <a:pt x="881176" y="0"/>
                                      </a:moveTo>
                                      <a:lnTo>
                                        <a:pt x="815555" y="0"/>
                                      </a:lnTo>
                                      <a:lnTo>
                                        <a:pt x="67183" y="0"/>
                                      </a:lnTo>
                                      <a:lnTo>
                                        <a:pt x="65620" y="0"/>
                                      </a:lnTo>
                                      <a:lnTo>
                                        <a:pt x="0" y="0"/>
                                      </a:lnTo>
                                      <a:lnTo>
                                        <a:pt x="0" y="235915"/>
                                      </a:lnTo>
                                      <a:lnTo>
                                        <a:pt x="65620" y="235915"/>
                                      </a:lnTo>
                                      <a:lnTo>
                                        <a:pt x="67183" y="235915"/>
                                      </a:lnTo>
                                      <a:lnTo>
                                        <a:pt x="815555" y="235915"/>
                                      </a:lnTo>
                                      <a:lnTo>
                                        <a:pt x="881176" y="235915"/>
                                      </a:lnTo>
                                      <a:lnTo>
                                        <a:pt x="881176" y="0"/>
                                      </a:lnTo>
                                      <a:close/>
                                    </a:path>
                                  </a:pathLst>
                                </a:custGeom>
                                <a:solidFill>
                                  <a:srgbClr val="DFD8E8"/>
                                </a:solidFill>
                              </wps:spPr>
                              <wps:bodyPr wrap="square" lIns="0" tIns="0" rIns="0" bIns="0" rtlCol="0">
                                <a:prstTxWarp prst="textNoShape">
                                  <a:avLst/>
                                </a:prstTxWarp>
                                <a:noAutofit/>
                              </wps:bodyPr>
                            </wps:wsp>
                          </wpg:wgp>
                        </a:graphicData>
                      </a:graphic>
                    </wp:inline>
                  </w:drawing>
                </mc:Choice>
                <mc:Fallback>
                  <w:pict>
                    <v:group style="width:69.4pt;height:18.6pt;mso-position-horizontal-relative:char;mso-position-vertical-relative:line" id="docshapegroup32" coordorigin="0,0" coordsize="1388,372">
                      <v:shape style="position:absolute;left:0;top:0;width:1388;height:372" id="docshape33" coordorigin="0,0" coordsize="1388,372" path="m1388,0l1284,0,106,0,103,0,0,0,0,372,103,372,106,372,1284,372,1388,372,1388,0xe" filled="true" fillcolor="#dfd8e8" stroked="false">
                        <v:path arrowok="t"/>
                        <v:fill type="solid"/>
                      </v:shape>
                    </v:group>
                  </w:pict>
                </mc:Fallback>
              </mc:AlternateContent>
            </w:r>
            <w:r>
              <w:rPr>
                <w:sz w:val="20"/>
              </w:rPr>
            </w:r>
          </w:p>
        </w:tc>
        <w:tc>
          <w:tcPr>
            <w:tcW w:w="2364" w:type="dxa"/>
            <w:tcBorders>
              <w:left w:val="single" w:sz="48" w:space="0" w:color="FFFFFF"/>
              <w:bottom w:val="single" w:sz="12" w:space="0" w:color="010202"/>
            </w:tcBorders>
          </w:tcPr>
          <w:p>
            <w:pPr>
              <w:pStyle w:val="TableParagraph"/>
              <w:tabs>
                <w:tab w:pos="1119" w:val="left" w:leader="none"/>
              </w:tabs>
              <w:spacing w:line="402" w:lineRule="exact"/>
              <w:ind w:right="345"/>
              <w:jc w:val="right"/>
              <w:rPr>
                <w:position w:val="-13"/>
                <w:sz w:val="54"/>
              </w:rPr>
            </w:pPr>
            <w:r>
              <w:rPr>
                <w:position w:val="-13"/>
                <w:sz w:val="54"/>
              </w:rPr>
              <mc:AlternateContent>
                <mc:Choice Requires="wps">
                  <w:drawing>
                    <wp:anchor distT="0" distB="0" distL="0" distR="0" allowOverlap="1" layoutInCell="1" locked="0" behindDoc="1" simplePos="0" relativeHeight="487078912">
                      <wp:simplePos x="0" y="0"/>
                      <wp:positionH relativeFrom="column">
                        <wp:posOffset>32808</wp:posOffset>
                      </wp:positionH>
                      <wp:positionV relativeFrom="paragraph">
                        <wp:posOffset>31368</wp:posOffset>
                      </wp:positionV>
                      <wp:extent cx="1137920" cy="236220"/>
                      <wp:effectExtent l="0" t="0" r="0" b="0"/>
                      <wp:wrapNone/>
                      <wp:docPr id="34" name="Group 34"/>
                      <wp:cNvGraphicFramePr>
                        <a:graphicFrameLocks/>
                      </wp:cNvGraphicFramePr>
                      <a:graphic>
                        <a:graphicData uri="http://schemas.microsoft.com/office/word/2010/wordprocessingGroup">
                          <wpg:wgp>
                            <wpg:cNvPr id="34" name="Group 34"/>
                            <wpg:cNvGrpSpPr/>
                            <wpg:grpSpPr>
                              <a:xfrm>
                                <a:off x="0" y="0"/>
                                <a:ext cx="1137920" cy="236220"/>
                                <a:chExt cx="1137920" cy="236220"/>
                              </a:xfrm>
                            </wpg:grpSpPr>
                            <wps:wsp>
                              <wps:cNvPr id="35" name="Graphic 35"/>
                              <wps:cNvSpPr/>
                              <wps:spPr>
                                <a:xfrm>
                                  <a:off x="0" y="0"/>
                                  <a:ext cx="1137920" cy="236220"/>
                                </a:xfrm>
                                <a:custGeom>
                                  <a:avLst/>
                                  <a:gdLst/>
                                  <a:ahLst/>
                                  <a:cxnLst/>
                                  <a:rect l="l" t="t" r="r" b="b"/>
                                  <a:pathLst>
                                    <a:path w="1137920" h="236220">
                                      <a:moveTo>
                                        <a:pt x="1137401" y="0"/>
                                      </a:moveTo>
                                      <a:lnTo>
                                        <a:pt x="0" y="0"/>
                                      </a:lnTo>
                                      <a:lnTo>
                                        <a:pt x="0" y="235911"/>
                                      </a:lnTo>
                                      <a:lnTo>
                                        <a:pt x="1137401" y="235911"/>
                                      </a:lnTo>
                                      <a:lnTo>
                                        <a:pt x="1137401" y="0"/>
                                      </a:lnTo>
                                      <a:close/>
                                    </a:path>
                                  </a:pathLst>
                                </a:custGeom>
                                <a:solidFill>
                                  <a:srgbClr val="DFD8E8"/>
                                </a:solidFill>
                              </wps:spPr>
                              <wps:bodyPr wrap="square" lIns="0" tIns="0" rIns="0" bIns="0" rtlCol="0">
                                <a:prstTxWarp prst="textNoShape">
                                  <a:avLst/>
                                </a:prstTxWarp>
                                <a:noAutofit/>
                              </wps:bodyPr>
                            </wps:wsp>
                          </wpg:wgp>
                        </a:graphicData>
                      </a:graphic>
                    </wp:anchor>
                  </w:drawing>
                </mc:Choice>
                <mc:Fallback>
                  <w:pict>
                    <v:group style="position:absolute;margin-left:2.583350pt;margin-top:2.469924pt;width:89.6pt;height:18.6pt;mso-position-horizontal-relative:column;mso-position-vertical-relative:paragraph;z-index:-16237568" id="docshapegroup34" coordorigin="52,49" coordsize="1792,372">
                      <v:rect style="position:absolute;left:51;top:49;width:1792;height:372" id="docshape35" filled="true" fillcolor="#dfd8e8" stroked="false">
                        <v:fill type="solid"/>
                      </v:rect>
                      <w10:wrap type="none"/>
                    </v:group>
                  </w:pict>
                </mc:Fallback>
              </mc:AlternateContent>
            </w:r>
            <w:r>
              <w:rPr>
                <w:color w:val="111313"/>
                <w:spacing w:val="-2"/>
                <w:sz w:val="21"/>
              </w:rPr>
              <w:t>0.822</w:t>
            </w:r>
            <w:r>
              <w:rPr>
                <w:color w:val="111313"/>
                <w:sz w:val="21"/>
              </w:rPr>
              <w:tab/>
            </w:r>
            <w:r>
              <w:rPr>
                <w:color w:val="DFD8E8"/>
                <w:spacing w:val="-10"/>
                <w:position w:val="-13"/>
                <w:sz w:val="54"/>
              </w:rPr>
              <w:t>I</w:t>
            </w:r>
          </w:p>
        </w:tc>
        <w:tc>
          <w:tcPr>
            <w:tcW w:w="1245" w:type="dxa"/>
            <w:tcBorders>
              <w:bottom w:val="single" w:sz="12" w:space="0" w:color="010202"/>
            </w:tcBorders>
          </w:tcPr>
          <w:p>
            <w:pPr>
              <w:pStyle w:val="TableParagraph"/>
              <w:spacing w:before="57"/>
              <w:ind w:left="30" w:right="5"/>
              <w:jc w:val="center"/>
              <w:rPr>
                <w:sz w:val="21"/>
              </w:rPr>
            </w:pPr>
            <w:r>
              <w:rPr>
                <w:sz w:val="21"/>
              </w:rPr>
              <mc:AlternateContent>
                <mc:Choice Requires="wps">
                  <w:drawing>
                    <wp:anchor distT="0" distB="0" distL="0" distR="0" allowOverlap="1" layoutInCell="1" locked="0" behindDoc="1" simplePos="0" relativeHeight="487079424">
                      <wp:simplePos x="0" y="0"/>
                      <wp:positionH relativeFrom="column">
                        <wp:posOffset>-198137</wp:posOffset>
                      </wp:positionH>
                      <wp:positionV relativeFrom="paragraph">
                        <wp:posOffset>31036</wp:posOffset>
                      </wp:positionV>
                      <wp:extent cx="1192530" cy="236220"/>
                      <wp:effectExtent l="0" t="0" r="0" b="0"/>
                      <wp:wrapNone/>
                      <wp:docPr id="36" name="Group 36"/>
                      <wp:cNvGraphicFramePr>
                        <a:graphicFrameLocks/>
                      </wp:cNvGraphicFramePr>
                      <a:graphic>
                        <a:graphicData uri="http://schemas.microsoft.com/office/word/2010/wordprocessingGroup">
                          <wpg:wgp>
                            <wpg:cNvPr id="36" name="Group 36"/>
                            <wpg:cNvGrpSpPr/>
                            <wpg:grpSpPr>
                              <a:xfrm>
                                <a:off x="0" y="0"/>
                                <a:ext cx="1192530" cy="236220"/>
                                <a:chExt cx="1192530" cy="236220"/>
                              </a:xfrm>
                            </wpg:grpSpPr>
                            <wps:wsp>
                              <wps:cNvPr id="37" name="Graphic 37"/>
                              <wps:cNvSpPr/>
                              <wps:spPr>
                                <a:xfrm>
                                  <a:off x="0" y="0"/>
                                  <a:ext cx="1192530" cy="236220"/>
                                </a:xfrm>
                                <a:custGeom>
                                  <a:avLst/>
                                  <a:gdLst/>
                                  <a:ahLst/>
                                  <a:cxnLst/>
                                  <a:rect l="l" t="t" r="r" b="b"/>
                                  <a:pathLst>
                                    <a:path w="1192530" h="236220">
                                      <a:moveTo>
                                        <a:pt x="1192079" y="0"/>
                                      </a:moveTo>
                                      <a:lnTo>
                                        <a:pt x="0" y="0"/>
                                      </a:lnTo>
                                      <a:lnTo>
                                        <a:pt x="0" y="235911"/>
                                      </a:lnTo>
                                      <a:lnTo>
                                        <a:pt x="1192079" y="235911"/>
                                      </a:lnTo>
                                      <a:lnTo>
                                        <a:pt x="1192079" y="0"/>
                                      </a:lnTo>
                                      <a:close/>
                                    </a:path>
                                  </a:pathLst>
                                </a:custGeom>
                                <a:solidFill>
                                  <a:srgbClr val="DFD8E8"/>
                                </a:solidFill>
                              </wps:spPr>
                              <wps:bodyPr wrap="square" lIns="0" tIns="0" rIns="0" bIns="0" rtlCol="0">
                                <a:prstTxWarp prst="textNoShape">
                                  <a:avLst/>
                                </a:prstTxWarp>
                                <a:noAutofit/>
                              </wps:bodyPr>
                            </wps:wsp>
                          </wpg:wgp>
                        </a:graphicData>
                      </a:graphic>
                    </wp:anchor>
                  </w:drawing>
                </mc:Choice>
                <mc:Fallback>
                  <w:pict>
                    <v:group style="position:absolute;margin-left:-15.6014pt;margin-top:2.443819pt;width:93.9pt;height:18.6pt;mso-position-horizontal-relative:column;mso-position-vertical-relative:paragraph;z-index:-16237056" id="docshapegroup36" coordorigin="-312,49" coordsize="1878,372">
                      <v:rect style="position:absolute;left:-313;top:48;width:1878;height:372" id="docshape37" filled="true" fillcolor="#dfd8e8" stroked="false">
                        <v:fill type="solid"/>
                      </v:rect>
                      <w10:wrap type="none"/>
                    </v:group>
                  </w:pict>
                </mc:Fallback>
              </mc:AlternateContent>
            </w:r>
            <w:r>
              <w:rPr>
                <w:color w:val="111313"/>
                <w:spacing w:val="-2"/>
                <w:sz w:val="21"/>
              </w:rPr>
              <w:t>0.822</w:t>
            </w:r>
          </w:p>
        </w:tc>
        <w:tc>
          <w:tcPr>
            <w:tcW w:w="424" w:type="dxa"/>
            <w:tcBorders>
              <w:bottom w:val="single" w:sz="12" w:space="0" w:color="010202"/>
            </w:tcBorders>
          </w:tcPr>
          <w:p>
            <w:pPr>
              <w:pStyle w:val="TableParagraph"/>
              <w:spacing w:line="402" w:lineRule="exact"/>
              <w:ind w:right="-29"/>
              <w:jc w:val="right"/>
              <w:rPr>
                <w:sz w:val="54"/>
              </w:rPr>
            </w:pPr>
            <w:r>
              <w:rPr>
                <w:color w:val="DFD8E8"/>
                <w:spacing w:val="-10"/>
                <w:w w:val="75"/>
                <w:sz w:val="54"/>
              </w:rPr>
              <w:t>I</w:t>
            </w:r>
          </w:p>
        </w:tc>
      </w:tr>
    </w:tbl>
    <w:p>
      <w:pPr>
        <w:pStyle w:val="BodyText"/>
        <w:spacing w:before="164"/>
      </w:pPr>
    </w:p>
    <w:p>
      <w:pPr>
        <w:pStyle w:val="BodyText"/>
        <w:spacing w:line="290" w:lineRule="auto"/>
        <w:ind w:left="307" w:right="304" w:firstLine="1"/>
        <w:jc w:val="both"/>
      </w:pPr>
      <w:r>
        <w:rPr>
          <w:color w:val="111313"/>
        </w:rPr>
        <w:t>The model fit statistics indicate that both the saturated model and the estimated model exhibit comparable</w:t>
      </w:r>
      <w:r>
        <w:rPr>
          <w:color w:val="111313"/>
          <w:spacing w:val="40"/>
        </w:rPr>
        <w:t> </w:t>
      </w:r>
      <w:r>
        <w:rPr>
          <w:color w:val="111313"/>
        </w:rPr>
        <w:t>fit indices.</w:t>
      </w:r>
      <w:r>
        <w:rPr>
          <w:color w:val="111313"/>
          <w:spacing w:val="40"/>
        </w:rPr>
        <w:t> </w:t>
      </w:r>
      <w:r>
        <w:rPr>
          <w:color w:val="111313"/>
        </w:rPr>
        <w:t>The Standardized</w:t>
      </w:r>
      <w:r>
        <w:rPr>
          <w:color w:val="111313"/>
          <w:spacing w:val="40"/>
        </w:rPr>
        <w:t> </w:t>
      </w:r>
      <w:r>
        <w:rPr>
          <w:color w:val="111313"/>
        </w:rPr>
        <w:t>Root Mean</w:t>
      </w:r>
      <w:r>
        <w:rPr>
          <w:color w:val="111313"/>
          <w:spacing w:val="40"/>
        </w:rPr>
        <w:t> </w:t>
      </w:r>
      <w:r>
        <w:rPr>
          <w:color w:val="111313"/>
        </w:rPr>
        <w:t>Square</w:t>
      </w:r>
      <w:r>
        <w:rPr>
          <w:color w:val="111313"/>
          <w:spacing w:val="40"/>
        </w:rPr>
        <w:t> </w:t>
      </w:r>
      <w:r>
        <w:rPr>
          <w:color w:val="111313"/>
        </w:rPr>
        <w:t>Residual</w:t>
      </w:r>
      <w:r>
        <w:rPr>
          <w:color w:val="111313"/>
          <w:spacing w:val="40"/>
        </w:rPr>
        <w:t> </w:t>
      </w:r>
      <w:r>
        <w:rPr>
          <w:b/>
          <w:color w:val="111313"/>
          <w:sz w:val="20"/>
        </w:rPr>
        <w:t>(SRMR)</w:t>
      </w:r>
      <w:r>
        <w:rPr>
          <w:b/>
          <w:color w:val="111313"/>
          <w:spacing w:val="40"/>
          <w:sz w:val="20"/>
        </w:rPr>
        <w:t> </w:t>
      </w:r>
      <w:r>
        <w:rPr>
          <w:color w:val="111313"/>
        </w:rPr>
        <w:t>values</w:t>
      </w:r>
      <w:r>
        <w:rPr>
          <w:color w:val="111313"/>
          <w:spacing w:val="40"/>
        </w:rPr>
        <w:t> </w:t>
      </w:r>
      <w:r>
        <w:rPr>
          <w:color w:val="111313"/>
        </w:rPr>
        <w:t>for both models are 0.072, indicating an acceptable fit (Hu &amp; Bentler</w:t>
      </w:r>
      <w:r>
        <w:rPr>
          <w:color w:val="3B3838"/>
        </w:rPr>
        <w:t>, </w:t>
      </w:r>
      <w:r>
        <w:rPr>
          <w:color w:val="111313"/>
        </w:rPr>
        <w:t>1999). Additionally</w:t>
      </w:r>
      <w:r>
        <w:rPr>
          <w:color w:val="3B3838"/>
        </w:rPr>
        <w:t>, </w:t>
      </w:r>
      <w:r>
        <w:rPr>
          <w:color w:val="111313"/>
        </w:rPr>
        <w:t>the Normed Fit Index (NFI) for both models is</w:t>
      </w:r>
      <w:r>
        <w:rPr>
          <w:color w:val="111313"/>
          <w:spacing w:val="-5"/>
        </w:rPr>
        <w:t> </w:t>
      </w:r>
      <w:r>
        <w:rPr>
          <w:color w:val="111313"/>
        </w:rPr>
        <w:t>0.822, which is</w:t>
      </w:r>
      <w:r>
        <w:rPr>
          <w:color w:val="111313"/>
          <w:spacing w:val="-1"/>
        </w:rPr>
        <w:t> </w:t>
      </w:r>
      <w:r>
        <w:rPr>
          <w:color w:val="111313"/>
        </w:rPr>
        <w:t>above the</w:t>
      </w:r>
      <w:r>
        <w:rPr>
          <w:color w:val="111313"/>
          <w:spacing w:val="-4"/>
        </w:rPr>
        <w:t> </w:t>
      </w:r>
      <w:r>
        <w:rPr>
          <w:color w:val="111313"/>
        </w:rPr>
        <w:t>recommended</w:t>
      </w:r>
      <w:r>
        <w:rPr>
          <w:color w:val="111313"/>
          <w:spacing w:val="28"/>
        </w:rPr>
        <w:t> </w:t>
      </w:r>
      <w:r>
        <w:rPr>
          <w:color w:val="111313"/>
        </w:rPr>
        <w:t>threshold of 0.80, suggesting a reasonable fit to the data (Bentler &amp; Bonett, 1980). Furthermore, both models</w:t>
      </w:r>
      <w:r>
        <w:rPr>
          <w:color w:val="111313"/>
          <w:spacing w:val="40"/>
        </w:rPr>
        <w:t> </w:t>
      </w:r>
      <w:r>
        <w:rPr>
          <w:color w:val="111313"/>
        </w:rPr>
        <w:t>demonstrate</w:t>
      </w:r>
      <w:r>
        <w:rPr>
          <w:color w:val="111313"/>
          <w:spacing w:val="40"/>
        </w:rPr>
        <w:t> </w:t>
      </w:r>
      <w:r>
        <w:rPr>
          <w:color w:val="111313"/>
        </w:rPr>
        <w:t>identical</w:t>
      </w:r>
      <w:r>
        <w:rPr>
          <w:color w:val="111313"/>
          <w:spacing w:val="40"/>
        </w:rPr>
        <w:t> </w:t>
      </w:r>
      <w:r>
        <w:rPr>
          <w:color w:val="111313"/>
        </w:rPr>
        <w:t>values</w:t>
      </w:r>
      <w:r>
        <w:rPr>
          <w:color w:val="111313"/>
          <w:spacing w:val="40"/>
        </w:rPr>
        <w:t> </w:t>
      </w:r>
      <w:r>
        <w:rPr>
          <w:color w:val="111313"/>
        </w:rPr>
        <w:t>for</w:t>
      </w:r>
      <w:r>
        <w:rPr>
          <w:color w:val="111313"/>
          <w:spacing w:val="40"/>
        </w:rPr>
        <w:t> </w:t>
      </w:r>
      <w:r>
        <w:rPr>
          <w:color w:val="111313"/>
        </w:rPr>
        <w:t>the</w:t>
      </w:r>
      <w:r>
        <w:rPr>
          <w:color w:val="111313"/>
          <w:spacing w:val="40"/>
        </w:rPr>
        <w:t> </w:t>
      </w:r>
      <w:r>
        <w:rPr>
          <w:color w:val="111313"/>
        </w:rPr>
        <w:t>discrepancy</w:t>
      </w:r>
      <w:r>
        <w:rPr>
          <w:color w:val="111313"/>
          <w:spacing w:val="40"/>
        </w:rPr>
        <w:t> </w:t>
      </w:r>
      <w:r>
        <w:rPr>
          <w:color w:val="111313"/>
        </w:rPr>
        <w:t>indices</w:t>
      </w:r>
      <w:r>
        <w:rPr>
          <w:color w:val="111313"/>
          <w:spacing w:val="40"/>
        </w:rPr>
        <w:t> </w:t>
      </w:r>
      <w:r>
        <w:rPr>
          <w:color w:val="111313"/>
        </w:rPr>
        <w:t>(d_ULS</w:t>
      </w:r>
      <w:r>
        <w:rPr>
          <w:color w:val="111313"/>
          <w:spacing w:val="40"/>
        </w:rPr>
        <w:t> </w:t>
      </w:r>
      <w:r>
        <w:rPr>
          <w:color w:val="111313"/>
        </w:rPr>
        <w:t>and</w:t>
      </w:r>
      <w:r>
        <w:rPr>
          <w:color w:val="111313"/>
          <w:spacing w:val="40"/>
        </w:rPr>
        <w:t> </w:t>
      </w:r>
      <w:r>
        <w:rPr>
          <w:color w:val="111313"/>
        </w:rPr>
        <w:t>d_G), suggesting no significant difference in fit between</w:t>
      </w:r>
      <w:r>
        <w:rPr>
          <w:color w:val="111313"/>
          <w:spacing w:val="40"/>
        </w:rPr>
        <w:t> </w:t>
      </w:r>
      <w:r>
        <w:rPr>
          <w:color w:val="111313"/>
        </w:rPr>
        <w:t>the saturated</w:t>
      </w:r>
      <w:r>
        <w:rPr>
          <w:color w:val="111313"/>
          <w:spacing w:val="40"/>
        </w:rPr>
        <w:t> </w:t>
      </w:r>
      <w:r>
        <w:rPr>
          <w:color w:val="111313"/>
        </w:rPr>
        <w:t>and estimated</w:t>
      </w:r>
      <w:r>
        <w:rPr>
          <w:color w:val="111313"/>
          <w:spacing w:val="40"/>
        </w:rPr>
        <w:t> </w:t>
      </w:r>
      <w:r>
        <w:rPr>
          <w:color w:val="111313"/>
        </w:rPr>
        <w:t>models (Bentler, 1990). While the chi-square statistic remains unchanged between the</w:t>
      </w:r>
      <w:r>
        <w:rPr>
          <w:color w:val="111313"/>
          <w:spacing w:val="-1"/>
        </w:rPr>
        <w:t> </w:t>
      </w:r>
      <w:r>
        <w:rPr>
          <w:color w:val="111313"/>
        </w:rPr>
        <w:t>two models, its interpretation is limited due to its sensitivity to sample size and model complexity (Kline, 2015). Overall</w:t>
      </w:r>
      <w:r>
        <w:rPr>
          <w:color w:val="3B3838"/>
        </w:rPr>
        <w:t>, </w:t>
      </w:r>
      <w:r>
        <w:rPr>
          <w:color w:val="111313"/>
        </w:rPr>
        <w:t>the consistent fit indices across the saturated and estimated models provide confidence in the adequacy of the proposed model for investigating the mediating role of training motivation in the relationship between training &amp; development and employee </w:t>
      </w:r>
      <w:r>
        <w:rPr>
          <w:color w:val="111313"/>
          <w:spacing w:val="-2"/>
        </w:rPr>
        <w:t>productivity.</w:t>
      </w:r>
    </w:p>
    <w:p>
      <w:pPr>
        <w:pStyle w:val="BodyText"/>
        <w:spacing w:before="4"/>
        <w:rPr>
          <w:sz w:val="9"/>
        </w:rPr>
      </w:pPr>
      <w:r>
        <w:rPr>
          <w:sz w:val="9"/>
        </w:rPr>
        <w:drawing>
          <wp:anchor distT="0" distB="0" distL="0" distR="0" allowOverlap="1" layoutInCell="1" locked="0" behindDoc="1" simplePos="0" relativeHeight="487592448">
            <wp:simplePos x="0" y="0"/>
            <wp:positionH relativeFrom="page">
              <wp:posOffset>1189165</wp:posOffset>
            </wp:positionH>
            <wp:positionV relativeFrom="paragraph">
              <wp:posOffset>83835</wp:posOffset>
            </wp:positionV>
            <wp:extent cx="4907659" cy="2217420"/>
            <wp:effectExtent l="0" t="0" r="0" b="0"/>
            <wp:wrapTopAndBottom/>
            <wp:docPr id="38" name="Image 38"/>
            <wp:cNvGraphicFramePr>
              <a:graphicFrameLocks/>
            </wp:cNvGraphicFramePr>
            <a:graphic>
              <a:graphicData uri="http://schemas.openxmlformats.org/drawingml/2006/picture">
                <pic:pic>
                  <pic:nvPicPr>
                    <pic:cNvPr id="38" name="Image 38"/>
                    <pic:cNvPicPr/>
                  </pic:nvPicPr>
                  <pic:blipFill>
                    <a:blip r:embed="rId8" cstate="print"/>
                    <a:stretch>
                      <a:fillRect/>
                    </a:stretch>
                  </pic:blipFill>
                  <pic:spPr>
                    <a:xfrm>
                      <a:off x="0" y="0"/>
                      <a:ext cx="4907659" cy="2217420"/>
                    </a:xfrm>
                    <a:prstGeom prst="rect">
                      <a:avLst/>
                    </a:prstGeom>
                  </pic:spPr>
                </pic:pic>
              </a:graphicData>
            </a:graphic>
          </wp:anchor>
        </w:drawing>
      </w:r>
    </w:p>
    <w:p>
      <w:pPr>
        <w:spacing w:before="146"/>
        <w:ind w:left="311" w:right="0" w:firstLine="0"/>
        <w:jc w:val="both"/>
        <w:rPr>
          <w:sz w:val="17"/>
        </w:rPr>
      </w:pPr>
      <w:r>
        <w:rPr>
          <w:b/>
          <w:color w:val="111313"/>
          <w:sz w:val="17"/>
        </w:rPr>
        <w:t>Figure</w:t>
      </w:r>
      <w:r>
        <w:rPr>
          <w:b/>
          <w:color w:val="111313"/>
          <w:spacing w:val="13"/>
          <w:sz w:val="17"/>
        </w:rPr>
        <w:t> </w:t>
      </w:r>
      <w:r>
        <w:rPr>
          <w:b/>
          <w:color w:val="111313"/>
          <w:sz w:val="17"/>
        </w:rPr>
        <w:t>2:</w:t>
      </w:r>
      <w:r>
        <w:rPr>
          <w:b/>
          <w:color w:val="111313"/>
          <w:spacing w:val="-5"/>
          <w:sz w:val="17"/>
        </w:rPr>
        <w:t> </w:t>
      </w:r>
      <w:r>
        <w:rPr>
          <w:color w:val="111313"/>
          <w:sz w:val="17"/>
        </w:rPr>
        <w:t>Measurement</w:t>
      </w:r>
      <w:r>
        <w:rPr>
          <w:color w:val="111313"/>
          <w:spacing w:val="17"/>
          <w:sz w:val="17"/>
        </w:rPr>
        <w:t> </w:t>
      </w:r>
      <w:r>
        <w:rPr>
          <w:color w:val="111313"/>
          <w:spacing w:val="-2"/>
          <w:sz w:val="17"/>
        </w:rPr>
        <w:t>Model</w:t>
      </w:r>
    </w:p>
    <w:p>
      <w:pPr>
        <w:pStyle w:val="BodyText"/>
        <w:rPr>
          <w:sz w:val="17"/>
        </w:rPr>
      </w:pPr>
    </w:p>
    <w:p>
      <w:pPr>
        <w:pStyle w:val="BodyText"/>
        <w:rPr>
          <w:sz w:val="17"/>
        </w:rPr>
      </w:pPr>
    </w:p>
    <w:p>
      <w:pPr>
        <w:pStyle w:val="BodyText"/>
        <w:rPr>
          <w:sz w:val="17"/>
        </w:rPr>
      </w:pPr>
    </w:p>
    <w:p>
      <w:pPr>
        <w:pStyle w:val="BodyText"/>
        <w:rPr>
          <w:sz w:val="17"/>
        </w:rPr>
      </w:pPr>
    </w:p>
    <w:p>
      <w:pPr>
        <w:pStyle w:val="BodyText"/>
        <w:spacing w:before="110"/>
        <w:rPr>
          <w:sz w:val="17"/>
        </w:rPr>
      </w:pPr>
    </w:p>
    <w:p>
      <w:pPr>
        <w:spacing w:before="0"/>
        <w:ind w:left="856" w:right="823" w:firstLine="0"/>
        <w:jc w:val="center"/>
        <w:rPr>
          <w:sz w:val="18"/>
        </w:rPr>
      </w:pPr>
      <w:r>
        <w:rPr>
          <w:color w:val="3B3838"/>
          <w:spacing w:val="-5"/>
          <w:sz w:val="18"/>
        </w:rPr>
        <w:t>68</w:t>
      </w:r>
    </w:p>
    <w:p>
      <w:pPr>
        <w:spacing w:after="0"/>
        <w:jc w:val="center"/>
        <w:rPr>
          <w:sz w:val="18"/>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69" w:id="13"/>
      <w:bookmarkEnd w:id="13"/>
      <w:r>
        <w:rPr/>
      </w:r>
      <w:r>
        <w:rPr>
          <w:i/>
          <w:color w:val="3B3838"/>
          <w:sz w:val="18"/>
        </w:rPr>
        <w:t>Mahbub</w:t>
      </w:r>
      <w:r>
        <w:rPr>
          <w:i/>
          <w:color w:val="565454"/>
          <w:sz w:val="18"/>
        </w:rPr>
        <w:t>/</w:t>
      </w:r>
      <w:r>
        <w:rPr>
          <w:i/>
          <w:color w:val="3B3838"/>
          <w:sz w:val="18"/>
        </w:rPr>
        <w:t>Comilla</w:t>
      </w:r>
      <w:r>
        <w:rPr>
          <w:i/>
          <w:color w:val="3B3838"/>
          <w:spacing w:val="-12"/>
          <w:sz w:val="18"/>
        </w:rPr>
        <w:t> </w:t>
      </w:r>
      <w:r>
        <w:rPr>
          <w:i/>
          <w:color w:val="3B3838"/>
          <w:sz w:val="18"/>
        </w:rPr>
        <w:t>Un</w:t>
      </w:r>
      <w:r>
        <w:rPr>
          <w:i/>
          <w:color w:val="111313"/>
          <w:sz w:val="18"/>
        </w:rPr>
        <w:t>i</w:t>
      </w:r>
      <w:r>
        <w:rPr>
          <w:i/>
          <w:color w:val="3B3838"/>
          <w:sz w:val="18"/>
        </w:rPr>
        <w:t>versity</w:t>
      </w:r>
      <w:r>
        <w:rPr>
          <w:i/>
          <w:color w:val="3B3838"/>
          <w:spacing w:val="-11"/>
          <w:sz w:val="18"/>
        </w:rPr>
        <w:t> </w:t>
      </w:r>
      <w:r>
        <w:rPr>
          <w:i/>
          <w:color w:val="3B3838"/>
          <w:sz w:val="18"/>
        </w:rPr>
        <w:t>Journal</w:t>
      </w:r>
      <w:r>
        <w:rPr>
          <w:i/>
          <w:color w:val="3B3838"/>
          <w:spacing w:val="-3"/>
          <w:sz w:val="18"/>
        </w:rPr>
        <w:t> </w:t>
      </w:r>
      <w:r>
        <w:rPr>
          <w:i/>
          <w:color w:val="3B3838"/>
          <w:sz w:val="18"/>
        </w:rPr>
        <w:t>of</w:t>
      </w:r>
      <w:r>
        <w:rPr>
          <w:i/>
          <w:color w:val="3B3838"/>
          <w:spacing w:val="-4"/>
          <w:sz w:val="18"/>
        </w:rPr>
        <w:t> </w:t>
      </w:r>
      <w:r>
        <w:rPr>
          <w:i/>
          <w:color w:val="3B3838"/>
          <w:sz w:val="18"/>
        </w:rPr>
        <w:t>Business</w:t>
      </w:r>
      <w:r>
        <w:rPr>
          <w:i/>
          <w:color w:val="3B3838"/>
          <w:spacing w:val="-1"/>
          <w:sz w:val="18"/>
        </w:rPr>
        <w:t> </w:t>
      </w:r>
      <w:r>
        <w:rPr>
          <w:i/>
          <w:color w:val="3B3838"/>
          <w:sz w:val="18"/>
        </w:rPr>
        <w:t>Studies</w:t>
      </w:r>
      <w:r>
        <w:rPr>
          <w:i/>
          <w:color w:val="3B3838"/>
          <w:spacing w:val="53"/>
          <w:sz w:val="18"/>
        </w:rPr>
        <w:t> </w:t>
      </w:r>
      <w:r>
        <w:rPr>
          <w:i/>
          <w:color w:val="111313"/>
          <w:sz w:val="18"/>
        </w:rPr>
        <w:t>IO</w:t>
      </w:r>
      <w:r>
        <w:rPr>
          <w:i/>
          <w:color w:val="111313"/>
          <w:spacing w:val="-11"/>
          <w:sz w:val="18"/>
        </w:rPr>
        <w:t> </w:t>
      </w:r>
      <w:r>
        <w:rPr>
          <w:i/>
          <w:color w:val="3B3838"/>
          <w:sz w:val="18"/>
        </w:rPr>
        <w:t>(2023)</w:t>
      </w:r>
      <w:r>
        <w:rPr>
          <w:i/>
          <w:color w:val="3B3838"/>
          <w:spacing w:val="-7"/>
          <w:sz w:val="18"/>
        </w:rPr>
        <w:t> </w:t>
      </w:r>
      <w:r>
        <w:rPr>
          <w:i/>
          <w:color w:val="3B3838"/>
          <w:sz w:val="18"/>
        </w:rPr>
        <w:t>5</w:t>
      </w:r>
      <w:r>
        <w:rPr>
          <w:color w:val="3B3838"/>
          <w:sz w:val="17"/>
        </w:rPr>
        <w:t>7</w:t>
      </w:r>
      <w:r>
        <w:rPr>
          <w:color w:val="111313"/>
          <w:sz w:val="17"/>
        </w:rPr>
        <w:t>-</w:t>
      </w:r>
      <w:r>
        <w:rPr>
          <w:i/>
          <w:color w:val="3B3838"/>
          <w:spacing w:val="-7"/>
          <w:sz w:val="18"/>
        </w:rPr>
        <w:t>77</w:t>
      </w:r>
    </w:p>
    <w:p>
      <w:pPr>
        <w:pStyle w:val="BodyText"/>
        <w:spacing w:before="158"/>
        <w:rPr>
          <w:i/>
          <w:sz w:val="18"/>
        </w:rPr>
      </w:pPr>
    </w:p>
    <w:p>
      <w:pPr>
        <w:pStyle w:val="ListParagraph"/>
        <w:numPr>
          <w:ilvl w:val="1"/>
          <w:numId w:val="1"/>
        </w:numPr>
        <w:tabs>
          <w:tab w:pos="631" w:val="left" w:leader="none"/>
        </w:tabs>
        <w:spacing w:line="240" w:lineRule="auto" w:before="0" w:after="0"/>
        <w:ind w:left="631" w:right="0" w:hanging="319"/>
        <w:jc w:val="both"/>
        <w:rPr>
          <w:i/>
          <w:color w:val="111313"/>
          <w:sz w:val="20"/>
        </w:rPr>
      </w:pPr>
      <w:r>
        <w:rPr>
          <w:i/>
          <w:color w:val="111313"/>
          <w:w w:val="105"/>
          <w:sz w:val="20"/>
        </w:rPr>
        <w:t>Assessment</w:t>
      </w:r>
      <w:r>
        <w:rPr>
          <w:i/>
          <w:color w:val="111313"/>
          <w:spacing w:val="4"/>
          <w:w w:val="105"/>
          <w:sz w:val="20"/>
        </w:rPr>
        <w:t> </w:t>
      </w:r>
      <w:r>
        <w:rPr>
          <w:i/>
          <w:color w:val="111313"/>
          <w:w w:val="105"/>
          <w:sz w:val="20"/>
        </w:rPr>
        <w:t>of</w:t>
      </w:r>
      <w:r>
        <w:rPr>
          <w:i/>
          <w:color w:val="111313"/>
          <w:spacing w:val="-7"/>
          <w:w w:val="105"/>
          <w:sz w:val="20"/>
        </w:rPr>
        <w:t> </w:t>
      </w:r>
      <w:r>
        <w:rPr>
          <w:i/>
          <w:color w:val="111313"/>
          <w:w w:val="105"/>
          <w:sz w:val="20"/>
        </w:rPr>
        <w:t>Structural</w:t>
      </w:r>
      <w:r>
        <w:rPr>
          <w:i/>
          <w:color w:val="111313"/>
          <w:spacing w:val="2"/>
          <w:w w:val="105"/>
          <w:sz w:val="20"/>
        </w:rPr>
        <w:t> </w:t>
      </w:r>
      <w:r>
        <w:rPr>
          <w:i/>
          <w:color w:val="111313"/>
          <w:spacing w:val="-2"/>
          <w:w w:val="105"/>
          <w:sz w:val="20"/>
        </w:rPr>
        <w:t>Model</w:t>
      </w:r>
    </w:p>
    <w:p>
      <w:pPr>
        <w:pStyle w:val="BodyText"/>
        <w:spacing w:line="292" w:lineRule="auto" w:before="150"/>
        <w:ind w:left="312" w:right="309"/>
        <w:jc w:val="both"/>
      </w:pPr>
      <w:r>
        <w:rPr>
          <w:color w:val="111313"/>
        </w:rPr>
        <w:t>The assessment of the structural</w:t>
      </w:r>
      <w:r>
        <w:rPr>
          <w:color w:val="111313"/>
          <w:spacing w:val="25"/>
        </w:rPr>
        <w:t> </w:t>
      </w:r>
      <w:r>
        <w:rPr>
          <w:color w:val="111313"/>
        </w:rPr>
        <w:t>model, investigates</w:t>
      </w:r>
      <w:r>
        <w:rPr>
          <w:color w:val="111313"/>
          <w:spacing w:val="23"/>
        </w:rPr>
        <w:t> </w:t>
      </w:r>
      <w:r>
        <w:rPr>
          <w:color w:val="111313"/>
        </w:rPr>
        <w:t>the mediating role of training motivation in the relationship between training &amp; development (T&amp;D) and employee productivity (EP) reveals significant pathways and a plausible mediation effect. Utilizing path analysis, the</w:t>
      </w:r>
      <w:r>
        <w:rPr>
          <w:color w:val="111313"/>
          <w:spacing w:val="40"/>
        </w:rPr>
        <w:t> </w:t>
      </w:r>
      <w:r>
        <w:rPr>
          <w:color w:val="111313"/>
        </w:rPr>
        <w:t>model demonstrates statistically significant direct paths from T&amp;D to EP and from T&amp;D to training motivation. Additionally, the indirect path from T&amp;D to EP through training motivation is also found to be significant, indicating partial mediation</w:t>
      </w:r>
      <w:r>
        <w:rPr>
          <w:color w:val="3B3838"/>
        </w:rPr>
        <w:t>. </w:t>
      </w:r>
      <w:r>
        <w:rPr>
          <w:color w:val="111313"/>
        </w:rPr>
        <w:t>These findings align with theoretical frameworks such as expectancy theory (Vroom, 1964) and self-determination theory (Deci &amp; Ryan, 1985)</w:t>
      </w:r>
      <w:r>
        <w:rPr>
          <w:color w:val="3B3838"/>
        </w:rPr>
        <w:t>,</w:t>
      </w:r>
      <w:r>
        <w:rPr>
          <w:color w:val="3B3838"/>
          <w:spacing w:val="-5"/>
        </w:rPr>
        <w:t> </w:t>
      </w:r>
      <w:r>
        <w:rPr>
          <w:color w:val="111313"/>
        </w:rPr>
        <w:t>which suggest that training motivation mediates the</w:t>
      </w:r>
      <w:r>
        <w:rPr>
          <w:color w:val="111313"/>
          <w:spacing w:val="-1"/>
        </w:rPr>
        <w:t> </w:t>
      </w:r>
      <w:r>
        <w:rPr>
          <w:color w:val="111313"/>
        </w:rPr>
        <w:t>influence of T&amp;D on employee productivity (EP).</w:t>
      </w:r>
    </w:p>
    <w:p>
      <w:pPr>
        <w:pStyle w:val="ListParagraph"/>
        <w:numPr>
          <w:ilvl w:val="2"/>
          <w:numId w:val="1"/>
        </w:numPr>
        <w:tabs>
          <w:tab w:pos="791" w:val="left" w:leader="none"/>
        </w:tabs>
        <w:spacing w:line="240" w:lineRule="auto" w:before="98" w:after="0"/>
        <w:ind w:left="791" w:right="0" w:hanging="479"/>
        <w:jc w:val="both"/>
        <w:rPr>
          <w:i/>
          <w:color w:val="111313"/>
          <w:sz w:val="20"/>
        </w:rPr>
      </w:pPr>
      <w:r>
        <w:rPr>
          <w:i/>
          <w:color w:val="111313"/>
          <w:w w:val="105"/>
          <w:sz w:val="20"/>
        </w:rPr>
        <w:t>Coefficient</w:t>
      </w:r>
      <w:r>
        <w:rPr>
          <w:i/>
          <w:color w:val="111313"/>
          <w:spacing w:val="7"/>
          <w:w w:val="105"/>
          <w:sz w:val="20"/>
        </w:rPr>
        <w:t> </w:t>
      </w:r>
      <w:r>
        <w:rPr>
          <w:i/>
          <w:color w:val="111313"/>
          <w:w w:val="105"/>
          <w:sz w:val="20"/>
        </w:rPr>
        <w:t>of</w:t>
      </w:r>
      <w:r>
        <w:rPr>
          <w:i/>
          <w:color w:val="111313"/>
          <w:spacing w:val="-2"/>
          <w:w w:val="105"/>
          <w:sz w:val="20"/>
        </w:rPr>
        <w:t> </w:t>
      </w:r>
      <w:r>
        <w:rPr>
          <w:i/>
          <w:color w:val="111313"/>
          <w:w w:val="105"/>
          <w:sz w:val="20"/>
        </w:rPr>
        <w:t>Determination</w:t>
      </w:r>
      <w:r>
        <w:rPr>
          <w:i/>
          <w:color w:val="111313"/>
          <w:spacing w:val="17"/>
          <w:w w:val="105"/>
          <w:sz w:val="20"/>
        </w:rPr>
        <w:t> </w:t>
      </w:r>
      <w:r>
        <w:rPr>
          <w:i/>
          <w:color w:val="111313"/>
          <w:spacing w:val="-4"/>
          <w:w w:val="105"/>
          <w:sz w:val="20"/>
        </w:rPr>
        <w:t>(R2)</w:t>
      </w:r>
    </w:p>
    <w:p>
      <w:pPr>
        <w:pStyle w:val="BodyText"/>
        <w:spacing w:line="290" w:lineRule="auto" w:before="150"/>
        <w:ind w:left="311" w:right="308" w:firstLine="1"/>
        <w:jc w:val="both"/>
      </w:pPr>
      <w:r>
        <w:rPr>
          <w:color w:val="111313"/>
        </w:rPr>
        <w:t>The Coefficient of Determination </w:t>
      </w:r>
      <w:r>
        <w:rPr>
          <w:b/>
          <w:color w:val="111313"/>
        </w:rPr>
        <w:t>(R</w:t>
      </w:r>
      <w:r>
        <w:rPr>
          <w:b/>
          <w:color w:val="111313"/>
          <w:position w:val="7"/>
          <w:sz w:val="11"/>
        </w:rPr>
        <w:t>2</w:t>
      </w:r>
      <w:r>
        <w:rPr>
          <w:b/>
          <w:color w:val="111313"/>
          <w:sz w:val="11"/>
        </w:rPr>
        <w:t>)</w:t>
      </w:r>
      <w:r>
        <w:rPr>
          <w:b/>
          <w:color w:val="111313"/>
          <w:spacing w:val="40"/>
          <w:sz w:val="11"/>
        </w:rPr>
        <w:t> </w:t>
      </w:r>
      <w:r>
        <w:rPr>
          <w:color w:val="111313"/>
        </w:rPr>
        <w:t>in the context of training &amp; development (T&amp;D) and employee productivity with training motivation as a mediating variable indicates the</w:t>
      </w:r>
      <w:r>
        <w:rPr>
          <w:color w:val="111313"/>
          <w:spacing w:val="40"/>
        </w:rPr>
        <w:t> </w:t>
      </w:r>
      <w:r>
        <w:rPr>
          <w:color w:val="111313"/>
        </w:rPr>
        <w:t>proportion of variance in employee productivity explained by the model. A high </w:t>
      </w:r>
      <w:r>
        <w:rPr>
          <w:b/>
          <w:color w:val="111313"/>
        </w:rPr>
        <w:t>R</w:t>
      </w:r>
      <w:r>
        <w:rPr>
          <w:b/>
          <w:color w:val="111313"/>
          <w:position w:val="7"/>
          <w:sz w:val="11"/>
        </w:rPr>
        <w:t>2</w:t>
      </w:r>
      <w:r>
        <w:rPr>
          <w:b/>
          <w:color w:val="111313"/>
          <w:spacing w:val="40"/>
          <w:position w:val="7"/>
          <w:sz w:val="11"/>
        </w:rPr>
        <w:t> </w:t>
      </w:r>
      <w:r>
        <w:rPr>
          <w:color w:val="111313"/>
        </w:rPr>
        <w:t>suggests the model effectively captures the relationship between T&amp;D and productivity, with training motivation playing a significant role (Nasir et al., 2020).</w:t>
      </w:r>
    </w:p>
    <w:p>
      <w:pPr>
        <w:spacing w:before="101"/>
        <w:ind w:left="2245" w:right="0" w:firstLine="0"/>
        <w:jc w:val="both"/>
        <w:rPr>
          <w:sz w:val="21"/>
        </w:rPr>
      </w:pPr>
      <w:r>
        <w:rPr>
          <w:b/>
          <w:color w:val="111313"/>
          <w:sz w:val="20"/>
        </w:rPr>
        <w:t>Table</w:t>
      </w:r>
      <w:r>
        <w:rPr>
          <w:b/>
          <w:color w:val="111313"/>
          <w:spacing w:val="4"/>
          <w:sz w:val="20"/>
        </w:rPr>
        <w:t> </w:t>
      </w:r>
      <w:r>
        <w:rPr>
          <w:b/>
          <w:color w:val="111313"/>
          <w:sz w:val="20"/>
        </w:rPr>
        <w:t>4</w:t>
      </w:r>
      <w:r>
        <w:rPr>
          <w:b/>
          <w:color w:val="111313"/>
          <w:spacing w:val="7"/>
          <w:sz w:val="20"/>
        </w:rPr>
        <w:t> </w:t>
      </w:r>
      <w:r>
        <w:rPr>
          <w:color w:val="111313"/>
          <w:sz w:val="20"/>
        </w:rPr>
        <w:t>:</w:t>
      </w:r>
      <w:r>
        <w:rPr>
          <w:color w:val="111313"/>
          <w:spacing w:val="19"/>
          <w:sz w:val="20"/>
        </w:rPr>
        <w:t> </w:t>
      </w:r>
      <w:r>
        <w:rPr>
          <w:color w:val="111313"/>
          <w:sz w:val="21"/>
        </w:rPr>
        <w:t>Result</w:t>
      </w:r>
      <w:r>
        <w:rPr>
          <w:color w:val="111313"/>
          <w:spacing w:val="6"/>
          <w:sz w:val="21"/>
        </w:rPr>
        <w:t> </w:t>
      </w:r>
      <w:r>
        <w:rPr>
          <w:color w:val="111313"/>
          <w:sz w:val="21"/>
        </w:rPr>
        <w:t>of</w:t>
      </w:r>
      <w:r>
        <w:rPr>
          <w:color w:val="111313"/>
          <w:spacing w:val="2"/>
          <w:sz w:val="21"/>
        </w:rPr>
        <w:t> </w:t>
      </w:r>
      <w:r>
        <w:rPr>
          <w:color w:val="111313"/>
          <w:sz w:val="21"/>
        </w:rPr>
        <w:t>R</w:t>
      </w:r>
      <w:r>
        <w:rPr>
          <w:color w:val="111313"/>
          <w:spacing w:val="4"/>
          <w:sz w:val="21"/>
        </w:rPr>
        <w:t> </w:t>
      </w:r>
      <w:r>
        <w:rPr>
          <w:color w:val="111313"/>
          <w:sz w:val="21"/>
        </w:rPr>
        <w:t>Square</w:t>
      </w:r>
      <w:r>
        <w:rPr>
          <w:color w:val="111313"/>
          <w:spacing w:val="13"/>
          <w:sz w:val="21"/>
        </w:rPr>
        <w:t> </w:t>
      </w:r>
      <w:r>
        <w:rPr>
          <w:color w:val="111313"/>
          <w:sz w:val="21"/>
        </w:rPr>
        <w:t>(Prediction</w:t>
      </w:r>
      <w:r>
        <w:rPr>
          <w:color w:val="111313"/>
          <w:spacing w:val="22"/>
          <w:sz w:val="21"/>
        </w:rPr>
        <w:t> </w:t>
      </w:r>
      <w:r>
        <w:rPr>
          <w:color w:val="111313"/>
          <w:spacing w:val="-2"/>
          <w:sz w:val="21"/>
        </w:rPr>
        <w:t>Power)</w:t>
      </w:r>
    </w:p>
    <w:p>
      <w:pPr>
        <w:pStyle w:val="BodyText"/>
        <w:spacing w:before="2"/>
        <w:rPr>
          <w:sz w:val="15"/>
        </w:rPr>
      </w:pPr>
    </w:p>
    <w:p>
      <w:pPr>
        <w:spacing w:line="27" w:lineRule="exact"/>
        <w:ind w:left="612" w:right="0" w:firstLine="0"/>
        <w:rPr>
          <w:position w:val="0"/>
          <w:sz w:val="2"/>
        </w:rPr>
      </w:pPr>
      <w:r>
        <w:rPr>
          <w:position w:val="0"/>
          <w:sz w:val="2"/>
        </w:rPr>
        <mc:AlternateContent>
          <mc:Choice Requires="wps">
            <w:drawing>
              <wp:inline distT="0" distB="0" distL="0" distR="0">
                <wp:extent cx="4690745" cy="17780"/>
                <wp:effectExtent l="0" t="0" r="0" b="0"/>
                <wp:docPr id="39" name="Group 39"/>
                <wp:cNvGraphicFramePr>
                  <a:graphicFrameLocks/>
                </wp:cNvGraphicFramePr>
                <a:graphic>
                  <a:graphicData uri="http://schemas.microsoft.com/office/word/2010/wordprocessingGroup">
                    <wpg:wgp>
                      <wpg:cNvPr id="39" name="Group 39"/>
                      <wpg:cNvGrpSpPr/>
                      <wpg:grpSpPr>
                        <a:xfrm>
                          <a:off x="0" y="0"/>
                          <a:ext cx="4690745" cy="17780"/>
                          <a:chExt cx="4690745" cy="17780"/>
                        </a:xfrm>
                      </wpg:grpSpPr>
                      <wps:wsp>
                        <wps:cNvPr id="40" name="Graphic 40"/>
                        <wps:cNvSpPr/>
                        <wps:spPr>
                          <a:xfrm>
                            <a:off x="-5" y="11"/>
                            <a:ext cx="4690745" cy="17780"/>
                          </a:xfrm>
                          <a:custGeom>
                            <a:avLst/>
                            <a:gdLst/>
                            <a:ahLst/>
                            <a:cxnLst/>
                            <a:rect l="l" t="t" r="r" b="b"/>
                            <a:pathLst>
                              <a:path w="4690745" h="17780">
                                <a:moveTo>
                                  <a:pt x="4690199" y="0"/>
                                </a:moveTo>
                                <a:lnTo>
                                  <a:pt x="3163773" y="0"/>
                                </a:lnTo>
                                <a:lnTo>
                                  <a:pt x="0" y="0"/>
                                </a:lnTo>
                                <a:lnTo>
                                  <a:pt x="0" y="17183"/>
                                </a:lnTo>
                                <a:lnTo>
                                  <a:pt x="3163773" y="17183"/>
                                </a:lnTo>
                                <a:lnTo>
                                  <a:pt x="4690199" y="17183"/>
                                </a:lnTo>
                                <a:lnTo>
                                  <a:pt x="4690199" y="0"/>
                                </a:lnTo>
                                <a:close/>
                              </a:path>
                            </a:pathLst>
                          </a:custGeom>
                          <a:solidFill>
                            <a:srgbClr val="010202"/>
                          </a:solidFill>
                        </wps:spPr>
                        <wps:bodyPr wrap="square" lIns="0" tIns="0" rIns="0" bIns="0" rtlCol="0">
                          <a:prstTxWarp prst="textNoShape">
                            <a:avLst/>
                          </a:prstTxWarp>
                          <a:noAutofit/>
                        </wps:bodyPr>
                      </wps:wsp>
                    </wpg:wgp>
                  </a:graphicData>
                </a:graphic>
              </wp:inline>
            </w:drawing>
          </mc:Choice>
          <mc:Fallback>
            <w:pict>
              <v:group style="width:369.35pt;height:1.4pt;mso-position-horizontal-relative:char;mso-position-vertical-relative:line" id="docshapegroup38" coordorigin="0,0" coordsize="7387,28">
                <v:shape style="position:absolute;left:0;top:0;width:7387;height:28" id="docshape39" coordorigin="0,0" coordsize="7387,28" path="m7386,0l4982,0,0,0,0,27,4982,27,7386,27,7386,0xe" filled="true" fillcolor="#010202" stroked="false">
                  <v:path arrowok="t"/>
                  <v:fill type="solid"/>
                </v:shape>
              </v:group>
            </w:pict>
          </mc:Fallback>
        </mc:AlternateContent>
      </w:r>
      <w:r>
        <w:rPr>
          <w:position w:val="0"/>
          <w:sz w:val="2"/>
        </w:rPr>
      </w:r>
    </w:p>
    <w:p>
      <w:pPr>
        <w:spacing w:after="0" w:line="27" w:lineRule="exact"/>
        <w:rPr>
          <w:position w:val="0"/>
          <w:sz w:val="2"/>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pStyle w:val="BodyText"/>
      </w:pPr>
    </w:p>
    <w:p>
      <w:pPr>
        <w:pStyle w:val="BodyText"/>
      </w:pPr>
    </w:p>
    <w:p>
      <w:pPr>
        <w:pStyle w:val="BodyText"/>
        <w:spacing w:before="62"/>
      </w:pPr>
    </w:p>
    <w:p>
      <w:pPr>
        <w:pStyle w:val="BodyText"/>
        <w:ind w:left="722"/>
      </w:pPr>
      <w:r>
        <w:rPr>
          <w:color w:val="111313"/>
        </w:rPr>
        <w:t>Training</w:t>
      </w:r>
      <w:r>
        <w:rPr>
          <w:color w:val="111313"/>
          <w:spacing w:val="10"/>
        </w:rPr>
        <w:t> </w:t>
      </w:r>
      <w:r>
        <w:rPr>
          <w:color w:val="111313"/>
          <w:spacing w:val="-4"/>
        </w:rPr>
        <w:t>Motivation</w:t>
      </w:r>
    </w:p>
    <w:p>
      <w:pPr>
        <w:spacing w:line="208" w:lineRule="exact" w:before="46"/>
        <w:ind w:left="1476" w:right="0" w:firstLine="0"/>
        <w:jc w:val="center"/>
        <w:rPr>
          <w:b/>
          <w:sz w:val="20"/>
        </w:rPr>
      </w:pPr>
      <w:r>
        <w:rPr/>
        <w:br w:type="column"/>
      </w:r>
      <w:r>
        <w:rPr>
          <w:b/>
          <w:color w:val="111313"/>
          <w:sz w:val="20"/>
        </w:rPr>
        <w:t>R-</w:t>
      </w:r>
      <w:r>
        <w:rPr>
          <w:b/>
          <w:color w:val="111313"/>
          <w:spacing w:val="-2"/>
          <w:sz w:val="20"/>
        </w:rPr>
        <w:t>square</w:t>
      </w:r>
    </w:p>
    <w:p>
      <w:pPr>
        <w:pStyle w:val="Heading1"/>
        <w:ind w:left="663"/>
      </w:pPr>
      <w:r>
        <w:rPr/>
        <w:drawing>
          <wp:anchor distT="0" distB="0" distL="0" distR="0" allowOverlap="1" layoutInCell="1" locked="0" behindDoc="1" simplePos="0" relativeHeight="487081472">
            <wp:simplePos x="0" y="0"/>
            <wp:positionH relativeFrom="page">
              <wp:posOffset>1303253</wp:posOffset>
            </wp:positionH>
            <wp:positionV relativeFrom="paragraph">
              <wp:posOffset>68123</wp:posOffset>
            </wp:positionV>
            <wp:extent cx="4690202" cy="18749"/>
            <wp:effectExtent l="0" t="0" r="0" b="0"/>
            <wp:wrapNone/>
            <wp:docPr id="41" name="Image 41"/>
            <wp:cNvGraphicFramePr>
              <a:graphicFrameLocks/>
            </wp:cNvGraphicFramePr>
            <a:graphic>
              <a:graphicData uri="http://schemas.openxmlformats.org/drawingml/2006/picture">
                <pic:pic>
                  <pic:nvPicPr>
                    <pic:cNvPr id="41" name="Image 41"/>
                    <pic:cNvPicPr/>
                  </pic:nvPicPr>
                  <pic:blipFill>
                    <a:blip r:embed="rId9" cstate="print"/>
                    <a:stretch>
                      <a:fillRect/>
                    </a:stretch>
                  </pic:blipFill>
                  <pic:spPr>
                    <a:xfrm>
                      <a:off x="0" y="0"/>
                      <a:ext cx="4690202" cy="18749"/>
                    </a:xfrm>
                    <a:prstGeom prst="rect">
                      <a:avLst/>
                    </a:prstGeom>
                  </pic:spPr>
                </pic:pic>
              </a:graphicData>
            </a:graphic>
          </wp:anchor>
        </w:drawing>
      </w:r>
      <w:r>
        <w:rPr/>
        <mc:AlternateContent>
          <mc:Choice Requires="wps">
            <w:drawing>
              <wp:anchor distT="0" distB="0" distL="0" distR="0" allowOverlap="1" layoutInCell="1" locked="0" behindDoc="0" simplePos="0" relativeHeight="15739392">
                <wp:simplePos x="0" y="0"/>
                <wp:positionH relativeFrom="page">
                  <wp:posOffset>2970295</wp:posOffset>
                </wp:positionH>
                <wp:positionV relativeFrom="paragraph">
                  <wp:posOffset>85306</wp:posOffset>
                </wp:positionV>
                <wp:extent cx="1412875" cy="228600"/>
                <wp:effectExtent l="0" t="0" r="0" b="0"/>
                <wp:wrapNone/>
                <wp:docPr id="42" name="Textbox 42"/>
                <wp:cNvGraphicFramePr>
                  <a:graphicFrameLocks/>
                </wp:cNvGraphicFramePr>
                <a:graphic>
                  <a:graphicData uri="http://schemas.microsoft.com/office/word/2010/wordprocessingShape">
                    <wps:wsp>
                      <wps:cNvPr id="42" name="Textbox 42"/>
                      <wps:cNvSpPr txBox="1"/>
                      <wps:spPr>
                        <a:xfrm>
                          <a:off x="0" y="0"/>
                          <a:ext cx="1412875" cy="228600"/>
                        </a:xfrm>
                        <a:prstGeom prst="rect">
                          <a:avLst/>
                        </a:prstGeom>
                        <a:solidFill>
                          <a:srgbClr val="DFD8E8"/>
                        </a:solidFill>
                      </wps:spPr>
                      <wps:txbx>
                        <w:txbxContent>
                          <w:p>
                            <w:pPr>
                              <w:pStyle w:val="BodyText"/>
                              <w:spacing w:before="37"/>
                              <w:ind w:left="22" w:right="4"/>
                              <w:jc w:val="center"/>
                              <w:rPr>
                                <w:color w:val="000000"/>
                              </w:rPr>
                            </w:pPr>
                            <w:r>
                              <w:rPr>
                                <w:color w:val="111313"/>
                                <w:spacing w:val="-2"/>
                              </w:rPr>
                              <w:t>0.358</w:t>
                            </w:r>
                          </w:p>
                        </w:txbxContent>
                      </wps:txbx>
                      <wps:bodyPr wrap="square" lIns="0" tIns="0" rIns="0" bIns="0" rtlCol="0">
                        <a:noAutofit/>
                      </wps:bodyPr>
                    </wps:wsp>
                  </a:graphicData>
                </a:graphic>
              </wp:anchor>
            </w:drawing>
          </mc:Choice>
          <mc:Fallback>
            <w:pict>
              <v:shape style="position:absolute;margin-left:233.8815pt;margin-top:6.717035pt;width:111.25pt;height:18pt;mso-position-horizontal-relative:page;mso-position-vertical-relative:paragraph;z-index:15739392" type="#_x0000_t202" id="docshape40" filled="true" fillcolor="#dfd8e8" stroked="false">
                <v:textbox inset="0,0,0,0">
                  <w:txbxContent>
                    <w:p>
                      <w:pPr>
                        <w:pStyle w:val="BodyText"/>
                        <w:spacing w:before="37"/>
                        <w:ind w:left="22" w:right="4"/>
                        <w:jc w:val="center"/>
                        <w:rPr>
                          <w:color w:val="000000"/>
                        </w:rPr>
                      </w:pPr>
                      <w:r>
                        <w:rPr>
                          <w:color w:val="111313"/>
                          <w:spacing w:val="-2"/>
                        </w:rPr>
                        <w:t>0.358</w:t>
                      </w:r>
                    </w:p>
                  </w:txbxContent>
                </v:textbox>
                <v:fill type="solid"/>
                <w10:wrap type="none"/>
              </v:shape>
            </w:pict>
          </mc:Fallback>
        </mc:AlternateContent>
      </w:r>
      <w:r>
        <w:rPr/>
        <mc:AlternateContent>
          <mc:Choice Requires="wps">
            <w:drawing>
              <wp:anchor distT="0" distB="0" distL="0" distR="0" allowOverlap="1" layoutInCell="1" locked="0" behindDoc="0" simplePos="0" relativeHeight="15739904">
                <wp:simplePos x="0" y="0"/>
                <wp:positionH relativeFrom="page">
                  <wp:posOffset>1303253</wp:posOffset>
                </wp:positionH>
                <wp:positionV relativeFrom="paragraph">
                  <wp:posOffset>85306</wp:posOffset>
                </wp:positionV>
                <wp:extent cx="1601470" cy="228600"/>
                <wp:effectExtent l="0" t="0" r="0" b="0"/>
                <wp:wrapNone/>
                <wp:docPr id="43" name="Textbox 43"/>
                <wp:cNvGraphicFramePr>
                  <a:graphicFrameLocks/>
                </wp:cNvGraphicFramePr>
                <a:graphic>
                  <a:graphicData uri="http://schemas.microsoft.com/office/word/2010/wordprocessingShape">
                    <wps:wsp>
                      <wps:cNvPr id="43" name="Textbox 43"/>
                      <wps:cNvSpPr txBox="1"/>
                      <wps:spPr>
                        <a:xfrm>
                          <a:off x="0" y="0"/>
                          <a:ext cx="1601470" cy="228600"/>
                        </a:xfrm>
                        <a:prstGeom prst="rect">
                          <a:avLst/>
                        </a:prstGeom>
                        <a:solidFill>
                          <a:srgbClr val="DFD8E8"/>
                        </a:solidFill>
                      </wps:spPr>
                      <wps:txbx>
                        <w:txbxContent>
                          <w:p>
                            <w:pPr>
                              <w:pStyle w:val="BodyText"/>
                              <w:spacing w:before="37"/>
                              <w:ind w:left="111"/>
                              <w:rPr>
                                <w:color w:val="000000"/>
                              </w:rPr>
                            </w:pPr>
                            <w:r>
                              <w:rPr>
                                <w:color w:val="232323"/>
                              </w:rPr>
                              <w:t>Employee</w:t>
                            </w:r>
                            <w:r>
                              <w:rPr>
                                <w:color w:val="232323"/>
                                <w:spacing w:val="3"/>
                              </w:rPr>
                              <w:t> </w:t>
                            </w:r>
                            <w:r>
                              <w:rPr>
                                <w:color w:val="111313"/>
                                <w:spacing w:val="-2"/>
                              </w:rPr>
                              <w:t>Productivity</w:t>
                            </w:r>
                          </w:p>
                        </w:txbxContent>
                      </wps:txbx>
                      <wps:bodyPr wrap="square" lIns="0" tIns="0" rIns="0" bIns="0" rtlCol="0">
                        <a:noAutofit/>
                      </wps:bodyPr>
                    </wps:wsp>
                  </a:graphicData>
                </a:graphic>
              </wp:anchor>
            </w:drawing>
          </mc:Choice>
          <mc:Fallback>
            <w:pict>
              <v:shape style="position:absolute;margin-left:102.618401pt;margin-top:6.717035pt;width:126.1pt;height:18pt;mso-position-horizontal-relative:page;mso-position-vertical-relative:paragraph;z-index:15739904" type="#_x0000_t202" id="docshape41" filled="true" fillcolor="#dfd8e8" stroked="false">
                <v:textbox inset="0,0,0,0">
                  <w:txbxContent>
                    <w:p>
                      <w:pPr>
                        <w:pStyle w:val="BodyText"/>
                        <w:spacing w:before="37"/>
                        <w:ind w:left="111"/>
                        <w:rPr>
                          <w:color w:val="000000"/>
                        </w:rPr>
                      </w:pPr>
                      <w:r>
                        <w:rPr>
                          <w:color w:val="232323"/>
                        </w:rPr>
                        <w:t>Employee</w:t>
                      </w:r>
                      <w:r>
                        <w:rPr>
                          <w:color w:val="232323"/>
                          <w:spacing w:val="3"/>
                        </w:rPr>
                        <w:t> </w:t>
                      </w:r>
                      <w:r>
                        <w:rPr>
                          <w:color w:val="111313"/>
                          <w:spacing w:val="-2"/>
                        </w:rPr>
                        <w:t>Productivity</w:t>
                      </w:r>
                    </w:p>
                  </w:txbxContent>
                </v:textbox>
                <v:fill type="solid"/>
                <w10:wrap type="none"/>
              </v:shape>
            </w:pict>
          </mc:Fallback>
        </mc:AlternateContent>
      </w:r>
      <w:r>
        <w:rPr>
          <w:color w:val="DFD8E8"/>
          <w:spacing w:val="-10"/>
          <w:w w:val="80"/>
        </w:rPr>
        <w:t>I</w:t>
      </w:r>
    </w:p>
    <w:p>
      <w:pPr>
        <w:pStyle w:val="BodyText"/>
        <w:spacing w:line="213" w:lineRule="exact"/>
        <w:ind w:left="1487"/>
        <w:jc w:val="center"/>
      </w:pPr>
      <w:r>
        <w:rPr>
          <w:color w:val="111313"/>
          <w:spacing w:val="-4"/>
        </w:rPr>
        <w:t>0.01</w:t>
      </w:r>
    </w:p>
    <w:p>
      <w:pPr>
        <w:spacing w:line="208" w:lineRule="exact" w:before="46"/>
        <w:ind w:left="134" w:right="0" w:firstLine="0"/>
        <w:jc w:val="center"/>
        <w:rPr>
          <w:b/>
          <w:sz w:val="20"/>
        </w:rPr>
      </w:pPr>
      <w:r>
        <w:rPr/>
        <w:br w:type="column"/>
      </w:r>
      <w:r>
        <w:rPr>
          <w:b/>
          <w:color w:val="111313"/>
          <w:w w:val="105"/>
          <w:sz w:val="20"/>
        </w:rPr>
        <w:t>R-square</w:t>
      </w:r>
      <w:r>
        <w:rPr>
          <w:b/>
          <w:color w:val="111313"/>
          <w:spacing w:val="5"/>
          <w:w w:val="105"/>
          <w:sz w:val="20"/>
        </w:rPr>
        <w:t> </w:t>
      </w:r>
      <w:r>
        <w:rPr>
          <w:b/>
          <w:color w:val="111313"/>
          <w:spacing w:val="-2"/>
          <w:w w:val="105"/>
          <w:sz w:val="20"/>
        </w:rPr>
        <w:t>adjusted</w:t>
      </w:r>
    </w:p>
    <w:p>
      <w:pPr>
        <w:pStyle w:val="Heading1"/>
        <w:tabs>
          <w:tab w:pos="2475" w:val="left" w:leader="none"/>
        </w:tabs>
        <w:jc w:val="center"/>
      </w:pPr>
      <w:r>
        <w:rPr/>
        <mc:AlternateContent>
          <mc:Choice Requires="wps">
            <w:drawing>
              <wp:anchor distT="0" distB="0" distL="0" distR="0" allowOverlap="1" layoutInCell="1" locked="0" behindDoc="1" simplePos="0" relativeHeight="487081984">
                <wp:simplePos x="0" y="0"/>
                <wp:positionH relativeFrom="page">
                  <wp:posOffset>4515465</wp:posOffset>
                </wp:positionH>
                <wp:positionV relativeFrom="paragraph">
                  <wp:posOffset>85306</wp:posOffset>
                </wp:positionV>
                <wp:extent cx="1412875" cy="228600"/>
                <wp:effectExtent l="0" t="0" r="0" b="0"/>
                <wp:wrapNone/>
                <wp:docPr id="44" name="Textbox 44"/>
                <wp:cNvGraphicFramePr>
                  <a:graphicFrameLocks/>
                </wp:cNvGraphicFramePr>
                <a:graphic>
                  <a:graphicData uri="http://schemas.microsoft.com/office/word/2010/wordprocessingShape">
                    <wps:wsp>
                      <wps:cNvPr id="44" name="Textbox 44"/>
                      <wps:cNvSpPr txBox="1"/>
                      <wps:spPr>
                        <a:xfrm>
                          <a:off x="0" y="0"/>
                          <a:ext cx="1412875" cy="228600"/>
                        </a:xfrm>
                        <a:prstGeom prst="rect">
                          <a:avLst/>
                        </a:prstGeom>
                        <a:solidFill>
                          <a:srgbClr val="DFD8E8"/>
                        </a:solidFill>
                      </wps:spPr>
                      <wps:txbx>
                        <w:txbxContent>
                          <w:p>
                            <w:pPr>
                              <w:pStyle w:val="BodyText"/>
                              <w:spacing w:before="37"/>
                              <w:ind w:left="22"/>
                              <w:jc w:val="center"/>
                              <w:rPr>
                                <w:color w:val="000000"/>
                              </w:rPr>
                            </w:pPr>
                            <w:r>
                              <w:rPr>
                                <w:color w:val="111313"/>
                                <w:spacing w:val="-2"/>
                              </w:rPr>
                              <w:t>0.355</w:t>
                            </w:r>
                          </w:p>
                        </w:txbxContent>
                      </wps:txbx>
                      <wps:bodyPr wrap="square" lIns="0" tIns="0" rIns="0" bIns="0" rtlCol="0">
                        <a:noAutofit/>
                      </wps:bodyPr>
                    </wps:wsp>
                  </a:graphicData>
                </a:graphic>
              </wp:anchor>
            </w:drawing>
          </mc:Choice>
          <mc:Fallback>
            <w:pict>
              <v:shape style="position:absolute;margin-left:355.548492pt;margin-top:6.717035pt;width:111.25pt;height:18pt;mso-position-horizontal-relative:page;mso-position-vertical-relative:paragraph;z-index:-16234496" type="#_x0000_t202" id="docshape42" filled="true" fillcolor="#dfd8e8" stroked="false">
                <v:textbox inset="0,0,0,0">
                  <w:txbxContent>
                    <w:p>
                      <w:pPr>
                        <w:pStyle w:val="BodyText"/>
                        <w:spacing w:before="37"/>
                        <w:ind w:left="22"/>
                        <w:jc w:val="center"/>
                        <w:rPr>
                          <w:color w:val="000000"/>
                        </w:rPr>
                      </w:pPr>
                      <w:r>
                        <w:rPr>
                          <w:color w:val="111313"/>
                          <w:spacing w:val="-2"/>
                        </w:rPr>
                        <w:t>0.355</w:t>
                      </w:r>
                    </w:p>
                  </w:txbxContent>
                </v:textbox>
                <v:fill type="solid"/>
                <w10:wrap type="none"/>
              </v:shape>
            </w:pict>
          </mc:Fallback>
        </mc:AlternateContent>
      </w:r>
      <w:r>
        <w:rPr>
          <w:color w:val="DFD8E8"/>
          <w:spacing w:val="-10"/>
          <w:w w:val="95"/>
        </w:rPr>
        <w:t>I</w:t>
      </w:r>
      <w:r>
        <w:rPr>
          <w:color w:val="DFD8E8"/>
        </w:rPr>
        <w:tab/>
      </w:r>
      <w:r>
        <w:rPr>
          <w:color w:val="DFD8E8"/>
          <w:spacing w:val="-10"/>
          <w:w w:val="95"/>
        </w:rPr>
        <w:t>I</w:t>
      </w:r>
    </w:p>
    <w:p>
      <w:pPr>
        <w:pStyle w:val="BodyText"/>
        <w:spacing w:line="213" w:lineRule="exact"/>
        <w:ind w:left="151"/>
        <w:jc w:val="center"/>
      </w:pPr>
      <w:r>
        <w:rPr>
          <w:color w:val="111313"/>
          <w:spacing w:val="-2"/>
        </w:rPr>
        <w:t>0.008</w:t>
      </w:r>
    </w:p>
    <w:p>
      <w:pPr>
        <w:pStyle w:val="BodyText"/>
        <w:spacing w:after="0" w:line="213" w:lineRule="exact"/>
        <w:jc w:val="center"/>
        <w:sectPr>
          <w:type w:val="continuous"/>
          <w:pgSz w:w="11520" w:h="15120"/>
          <w:pgMar w:top="1660" w:bottom="280" w:left="1440" w:right="1440"/>
          <w:pgBorders w:offsetFrom="page">
            <w:top w:val="single" w:color="D1D3D4" w:space="27" w:sz="2"/>
            <w:left w:val="single" w:color="D1D3D4" w:space="27" w:sz="2"/>
            <w:bottom w:val="single" w:color="D1D3D4" w:space="27" w:sz="2"/>
            <w:right w:val="single" w:color="D1D3D4" w:space="27" w:sz="2"/>
          </w:pgBorders>
          <w:cols w:num="3" w:equalWidth="0">
            <w:col w:w="2426" w:space="40"/>
            <w:col w:w="2297" w:space="39"/>
            <w:col w:w="3838"/>
          </w:cols>
        </w:sectPr>
      </w:pPr>
    </w:p>
    <w:p>
      <w:pPr>
        <w:pStyle w:val="BodyText"/>
        <w:spacing w:before="1"/>
        <w:rPr>
          <w:sz w:val="7"/>
        </w:rPr>
      </w:pPr>
    </w:p>
    <w:p>
      <w:pPr>
        <w:spacing w:line="27" w:lineRule="exact"/>
        <w:ind w:left="600" w:right="0" w:firstLine="0"/>
        <w:rPr>
          <w:position w:val="0"/>
          <w:sz w:val="2"/>
        </w:rPr>
      </w:pPr>
      <w:r>
        <w:rPr>
          <w:position w:val="0"/>
          <w:sz w:val="2"/>
        </w:rPr>
        <mc:AlternateContent>
          <mc:Choice Requires="wps">
            <w:drawing>
              <wp:inline distT="0" distB="0" distL="0" distR="0">
                <wp:extent cx="4698365" cy="17780"/>
                <wp:effectExtent l="0" t="0" r="0" b="0"/>
                <wp:docPr id="45" name="Group 45"/>
                <wp:cNvGraphicFramePr>
                  <a:graphicFrameLocks/>
                </wp:cNvGraphicFramePr>
                <a:graphic>
                  <a:graphicData uri="http://schemas.microsoft.com/office/word/2010/wordprocessingGroup">
                    <wpg:wgp>
                      <wpg:cNvPr id="45" name="Group 45"/>
                      <wpg:cNvGrpSpPr/>
                      <wpg:grpSpPr>
                        <a:xfrm>
                          <a:off x="0" y="0"/>
                          <a:ext cx="4698365" cy="17780"/>
                          <a:chExt cx="4698365" cy="17780"/>
                        </a:xfrm>
                      </wpg:grpSpPr>
                      <wps:wsp>
                        <wps:cNvPr id="46" name="Graphic 46"/>
                        <wps:cNvSpPr/>
                        <wps:spPr>
                          <a:xfrm>
                            <a:off x="-3" y="8"/>
                            <a:ext cx="4698365" cy="17780"/>
                          </a:xfrm>
                          <a:custGeom>
                            <a:avLst/>
                            <a:gdLst/>
                            <a:ahLst/>
                            <a:cxnLst/>
                            <a:rect l="l" t="t" r="r" b="b"/>
                            <a:pathLst>
                              <a:path w="4698365" h="17780">
                                <a:moveTo>
                                  <a:pt x="4698009" y="0"/>
                                </a:moveTo>
                                <a:lnTo>
                                  <a:pt x="3162211" y="0"/>
                                </a:lnTo>
                                <a:lnTo>
                                  <a:pt x="0" y="0"/>
                                </a:lnTo>
                                <a:lnTo>
                                  <a:pt x="0" y="17183"/>
                                </a:lnTo>
                                <a:lnTo>
                                  <a:pt x="3162211" y="17183"/>
                                </a:lnTo>
                                <a:lnTo>
                                  <a:pt x="4698009" y="17183"/>
                                </a:lnTo>
                                <a:lnTo>
                                  <a:pt x="4698009" y="0"/>
                                </a:lnTo>
                                <a:close/>
                              </a:path>
                            </a:pathLst>
                          </a:custGeom>
                          <a:solidFill>
                            <a:srgbClr val="010202"/>
                          </a:solidFill>
                        </wps:spPr>
                        <wps:bodyPr wrap="square" lIns="0" tIns="0" rIns="0" bIns="0" rtlCol="0">
                          <a:prstTxWarp prst="textNoShape">
                            <a:avLst/>
                          </a:prstTxWarp>
                          <a:noAutofit/>
                        </wps:bodyPr>
                      </wps:wsp>
                    </wpg:wgp>
                  </a:graphicData>
                </a:graphic>
              </wp:inline>
            </w:drawing>
          </mc:Choice>
          <mc:Fallback>
            <w:pict>
              <v:group style="width:369.95pt;height:1.4pt;mso-position-horizontal-relative:char;mso-position-vertical-relative:line" id="docshapegroup43" coordorigin="0,0" coordsize="7399,28">
                <v:shape style="position:absolute;left:0;top:0;width:7399;height:28" id="docshape44" coordorigin="0,0" coordsize="7399,28" path="m7398,0l4980,0,0,0,0,27,4980,27,7398,27,7398,0xe" filled="true" fillcolor="#010202" stroked="false">
                  <v:path arrowok="t"/>
                  <v:fill type="solid"/>
                </v:shape>
              </v:group>
            </w:pict>
          </mc:Fallback>
        </mc:AlternateContent>
      </w:r>
      <w:r>
        <w:rPr>
          <w:position w:val="0"/>
          <w:sz w:val="2"/>
        </w:rPr>
      </w:r>
    </w:p>
    <w:p>
      <w:pPr>
        <w:pStyle w:val="BodyText"/>
        <w:spacing w:line="266" w:lineRule="auto" w:before="73"/>
        <w:ind w:left="311" w:right="300" w:firstLine="3"/>
        <w:jc w:val="both"/>
      </w:pPr>
      <w:r>
        <w:rPr>
          <w:color w:val="111313"/>
        </w:rPr>
        <w:t>In the context of the Readymade Garments Industry of Bangladesh, the coefficient of determination (R</w:t>
      </w:r>
      <w:r>
        <w:rPr>
          <w:color w:val="111313"/>
          <w:position w:val="7"/>
          <w:sz w:val="11"/>
        </w:rPr>
        <w:t>2</w:t>
      </w:r>
      <w:r>
        <w:rPr>
          <w:color w:val="111313"/>
          <w:sz w:val="11"/>
        </w:rPr>
        <w:t>)</w:t>
      </w:r>
      <w:r>
        <w:rPr>
          <w:color w:val="111313"/>
          <w:spacing w:val="40"/>
          <w:sz w:val="11"/>
        </w:rPr>
        <w:t> </w:t>
      </w:r>
      <w:r>
        <w:rPr>
          <w:color w:val="111313"/>
        </w:rPr>
        <w:t>provides insight into the proportion of variance in </w:t>
      </w:r>
      <w:r>
        <w:rPr>
          <w:color w:val="232323"/>
        </w:rPr>
        <w:t>Employee </w:t>
      </w:r>
      <w:r>
        <w:rPr>
          <w:color w:val="111313"/>
        </w:rPr>
        <w:t>Productivity (EP) that can be explained by the independent variables, including Training &amp; Development (T&amp;D) and Training Motivation (TM). The R</w:t>
      </w:r>
      <w:r>
        <w:rPr>
          <w:color w:val="111313"/>
          <w:position w:val="7"/>
          <w:sz w:val="11"/>
        </w:rPr>
        <w:t>2</w:t>
      </w:r>
      <w:r>
        <w:rPr>
          <w:color w:val="111313"/>
          <w:spacing w:val="40"/>
          <w:position w:val="7"/>
          <w:sz w:val="11"/>
        </w:rPr>
        <w:t> </w:t>
      </w:r>
      <w:r>
        <w:rPr>
          <w:color w:val="111313"/>
        </w:rPr>
        <w:t>value of 0.358 indicates that approximately 35.8% of the variability in </w:t>
      </w:r>
      <w:r>
        <w:rPr>
          <w:color w:val="232323"/>
        </w:rPr>
        <w:t>EP </w:t>
      </w:r>
      <w:r>
        <w:rPr>
          <w:color w:val="111313"/>
        </w:rPr>
        <w:t>can be accounted</w:t>
      </w:r>
      <w:r>
        <w:rPr>
          <w:color w:val="111313"/>
          <w:spacing w:val="40"/>
        </w:rPr>
        <w:t> </w:t>
      </w:r>
      <w:r>
        <w:rPr>
          <w:color w:val="111313"/>
        </w:rPr>
        <w:t>for by T&amp;D and TM collectively. This suggests a moderate level of predictive power in understanding </w:t>
      </w:r>
      <w:r>
        <w:rPr>
          <w:color w:val="232323"/>
        </w:rPr>
        <w:t>EP</w:t>
      </w:r>
      <w:r>
        <w:rPr>
          <w:color w:val="232323"/>
          <w:spacing w:val="-1"/>
        </w:rPr>
        <w:t> </w:t>
      </w:r>
      <w:r>
        <w:rPr>
          <w:color w:val="111313"/>
        </w:rPr>
        <w:t>within the</w:t>
      </w:r>
      <w:r>
        <w:rPr>
          <w:color w:val="111313"/>
          <w:spacing w:val="-1"/>
        </w:rPr>
        <w:t> </w:t>
      </w:r>
      <w:r>
        <w:rPr>
          <w:color w:val="111313"/>
        </w:rPr>
        <w:t>context of</w:t>
      </w:r>
      <w:r>
        <w:rPr>
          <w:color w:val="111313"/>
          <w:spacing w:val="-1"/>
        </w:rPr>
        <w:t> </w:t>
      </w:r>
      <w:r>
        <w:rPr>
          <w:color w:val="111313"/>
        </w:rPr>
        <w:t>T&amp;D initiatives and training motivation in the Readymade Garments Industry of Bangladesh</w:t>
      </w:r>
      <w:r>
        <w:rPr>
          <w:color w:val="3B3838"/>
        </w:rPr>
        <w:t>. </w:t>
      </w:r>
      <w:r>
        <w:rPr>
          <w:color w:val="111313"/>
        </w:rPr>
        <w:t>Furthermore, the adjusted R</w:t>
      </w:r>
      <w:r>
        <w:rPr>
          <w:color w:val="3B3838"/>
          <w:position w:val="7"/>
          <w:sz w:val="11"/>
        </w:rPr>
        <w:t>2</w:t>
      </w:r>
      <w:r>
        <w:rPr>
          <w:color w:val="3B3838"/>
          <w:spacing w:val="40"/>
          <w:position w:val="7"/>
          <w:sz w:val="11"/>
        </w:rPr>
        <w:t> </w:t>
      </w:r>
      <w:r>
        <w:rPr>
          <w:color w:val="111313"/>
        </w:rPr>
        <w:t>value of 0.355 considers the complexity and sample size of the model, offering a more conservative estimate of the explanatory power of the independent </w:t>
      </w:r>
      <w:r>
        <w:rPr>
          <w:color w:val="232323"/>
        </w:rPr>
        <w:t>variables. </w:t>
      </w:r>
      <w:r>
        <w:rPr>
          <w:color w:val="111313"/>
        </w:rPr>
        <w:t>While the R</w:t>
      </w:r>
      <w:r>
        <w:rPr>
          <w:rFonts w:ascii="Arial"/>
          <w:color w:val="111313"/>
          <w:position w:val="7"/>
          <w:sz w:val="10"/>
        </w:rPr>
        <w:t>2</w:t>
      </w:r>
      <w:r>
        <w:rPr>
          <w:rFonts w:ascii="Arial"/>
          <w:color w:val="111313"/>
          <w:spacing w:val="40"/>
          <w:position w:val="7"/>
          <w:sz w:val="10"/>
        </w:rPr>
        <w:t> </w:t>
      </w:r>
      <w:r>
        <w:rPr>
          <w:color w:val="111313"/>
        </w:rPr>
        <w:t>for TM is relatively</w:t>
      </w:r>
      <w:r>
        <w:rPr>
          <w:color w:val="111313"/>
          <w:spacing w:val="40"/>
        </w:rPr>
        <w:t> </w:t>
      </w:r>
      <w:r>
        <w:rPr>
          <w:color w:val="111313"/>
        </w:rPr>
        <w:t>low (0.01)</w:t>
      </w:r>
      <w:r>
        <w:rPr>
          <w:color w:val="3B3838"/>
        </w:rPr>
        <w:t>, </w:t>
      </w:r>
      <w:r>
        <w:rPr>
          <w:color w:val="111313"/>
        </w:rPr>
        <w:t>indicating that only 1</w:t>
      </w:r>
      <w:r>
        <w:rPr>
          <w:color w:val="232323"/>
        </w:rPr>
        <w:t>% </w:t>
      </w:r>
      <w:r>
        <w:rPr>
          <w:color w:val="111313"/>
        </w:rPr>
        <w:t>of the variability</w:t>
      </w:r>
      <w:r>
        <w:rPr>
          <w:color w:val="111313"/>
          <w:spacing w:val="40"/>
        </w:rPr>
        <w:t> </w:t>
      </w:r>
      <w:r>
        <w:rPr>
          <w:color w:val="111313"/>
        </w:rPr>
        <w:t>in TM</w:t>
      </w:r>
      <w:r>
        <w:rPr>
          <w:color w:val="111313"/>
          <w:spacing w:val="40"/>
        </w:rPr>
        <w:t> </w:t>
      </w:r>
      <w:r>
        <w:rPr>
          <w:color w:val="111313"/>
        </w:rPr>
        <w:t>is </w:t>
      </w:r>
      <w:r>
        <w:rPr>
          <w:color w:val="232323"/>
        </w:rPr>
        <w:t>explained</w:t>
      </w:r>
      <w:r>
        <w:rPr>
          <w:color w:val="232323"/>
          <w:spacing w:val="40"/>
        </w:rPr>
        <w:t> </w:t>
      </w:r>
      <w:r>
        <w:rPr>
          <w:color w:val="111313"/>
        </w:rPr>
        <w:t>by</w:t>
      </w:r>
      <w:r>
        <w:rPr>
          <w:color w:val="111313"/>
          <w:spacing w:val="40"/>
        </w:rPr>
        <w:t> </w:t>
      </w:r>
      <w:r>
        <w:rPr>
          <w:color w:val="111313"/>
        </w:rPr>
        <w:t>the</w:t>
      </w:r>
      <w:r>
        <w:rPr>
          <w:color w:val="111313"/>
          <w:spacing w:val="40"/>
        </w:rPr>
        <w:t> </w:t>
      </w:r>
      <w:r>
        <w:rPr>
          <w:color w:val="111313"/>
        </w:rPr>
        <w:t>predictors,</w:t>
      </w:r>
      <w:r>
        <w:rPr>
          <w:color w:val="111313"/>
          <w:spacing w:val="40"/>
        </w:rPr>
        <w:t> </w:t>
      </w:r>
      <w:r>
        <w:rPr>
          <w:color w:val="111313"/>
        </w:rPr>
        <w:t>it </w:t>
      </w:r>
      <w:r>
        <w:rPr>
          <w:color w:val="232323"/>
        </w:rPr>
        <w:t>still </w:t>
      </w:r>
      <w:r>
        <w:rPr>
          <w:color w:val="111313"/>
        </w:rPr>
        <w:t>contributes</w:t>
      </w:r>
      <w:r>
        <w:rPr>
          <w:color w:val="111313"/>
          <w:spacing w:val="40"/>
        </w:rPr>
        <w:t> </w:t>
      </w:r>
      <w:r>
        <w:rPr>
          <w:color w:val="111313"/>
        </w:rPr>
        <w:t>to understanding</w:t>
      </w:r>
      <w:r>
        <w:rPr>
          <w:color w:val="111313"/>
          <w:spacing w:val="40"/>
        </w:rPr>
        <w:t> </w:t>
      </w:r>
      <w:r>
        <w:rPr>
          <w:color w:val="111313"/>
        </w:rPr>
        <w:t>the overall model.</w:t>
      </w:r>
    </w:p>
    <w:p>
      <w:pPr>
        <w:pStyle w:val="ListParagraph"/>
        <w:numPr>
          <w:ilvl w:val="2"/>
          <w:numId w:val="1"/>
        </w:numPr>
        <w:tabs>
          <w:tab w:pos="794" w:val="left" w:leader="none"/>
        </w:tabs>
        <w:spacing w:line="240" w:lineRule="auto" w:before="48" w:after="0"/>
        <w:ind w:left="794" w:right="0" w:hanging="482"/>
        <w:jc w:val="left"/>
        <w:rPr>
          <w:i/>
          <w:color w:val="232323"/>
          <w:sz w:val="20"/>
        </w:rPr>
      </w:pPr>
      <w:r>
        <w:rPr>
          <w:i/>
          <w:color w:val="111313"/>
          <w:w w:val="105"/>
          <w:sz w:val="20"/>
        </w:rPr>
        <w:t>Effect</w:t>
      </w:r>
      <w:r>
        <w:rPr>
          <w:i/>
          <w:color w:val="111313"/>
          <w:spacing w:val="7"/>
          <w:w w:val="105"/>
          <w:sz w:val="20"/>
        </w:rPr>
        <w:t> </w:t>
      </w:r>
      <w:r>
        <w:rPr>
          <w:i/>
          <w:color w:val="111313"/>
          <w:w w:val="105"/>
          <w:sz w:val="20"/>
        </w:rPr>
        <w:t>Size</w:t>
      </w:r>
      <w:r>
        <w:rPr>
          <w:i/>
          <w:color w:val="111313"/>
          <w:spacing w:val="2"/>
          <w:w w:val="105"/>
          <w:sz w:val="20"/>
        </w:rPr>
        <w:t> </w:t>
      </w:r>
      <w:r>
        <w:rPr>
          <w:i/>
          <w:color w:val="111313"/>
          <w:w w:val="105"/>
          <w:sz w:val="20"/>
        </w:rPr>
        <w:t>(</w:t>
      </w:r>
      <w:r>
        <w:rPr>
          <w:i/>
          <w:color w:val="111313"/>
          <w:spacing w:val="3"/>
          <w:w w:val="105"/>
          <w:sz w:val="20"/>
        </w:rPr>
        <w:t> </w:t>
      </w:r>
      <w:r>
        <w:rPr>
          <w:i/>
          <w:color w:val="111313"/>
          <w:spacing w:val="-5"/>
          <w:w w:val="105"/>
          <w:sz w:val="20"/>
        </w:rPr>
        <w:t>F</w:t>
      </w:r>
      <w:r>
        <w:rPr>
          <w:i/>
          <w:color w:val="111313"/>
          <w:spacing w:val="-5"/>
          <w:w w:val="105"/>
          <w:position w:val="8"/>
          <w:sz w:val="20"/>
        </w:rPr>
        <w:t>2</w:t>
      </w:r>
      <w:r>
        <w:rPr>
          <w:i/>
          <w:color w:val="111313"/>
          <w:spacing w:val="-5"/>
          <w:w w:val="105"/>
          <w:sz w:val="20"/>
        </w:rPr>
        <w:t>)</w:t>
      </w:r>
    </w:p>
    <w:p>
      <w:pPr>
        <w:pStyle w:val="BodyText"/>
        <w:spacing w:line="290" w:lineRule="auto" w:before="155"/>
        <w:ind w:left="315" w:right="320" w:hanging="2"/>
        <w:jc w:val="both"/>
      </w:pPr>
      <w:r>
        <w:rPr>
          <w:color w:val="111313"/>
        </w:rPr>
        <w:t>In studies </w:t>
      </w:r>
      <w:r>
        <w:rPr>
          <w:color w:val="232323"/>
        </w:rPr>
        <w:t>examining </w:t>
      </w:r>
      <w:r>
        <w:rPr>
          <w:color w:val="111313"/>
        </w:rPr>
        <w:t>the influence of training &amp; development (T&amp;D) on employee productivity,</w:t>
      </w:r>
      <w:r>
        <w:rPr>
          <w:color w:val="111313"/>
          <w:spacing w:val="23"/>
        </w:rPr>
        <w:t> </w:t>
      </w:r>
      <w:r>
        <w:rPr>
          <w:color w:val="111313"/>
        </w:rPr>
        <w:t>with</w:t>
      </w:r>
      <w:r>
        <w:rPr>
          <w:color w:val="111313"/>
          <w:spacing w:val="18"/>
        </w:rPr>
        <w:t> </w:t>
      </w:r>
      <w:r>
        <w:rPr>
          <w:color w:val="111313"/>
        </w:rPr>
        <w:t>training</w:t>
      </w:r>
      <w:r>
        <w:rPr>
          <w:color w:val="111313"/>
          <w:spacing w:val="13"/>
        </w:rPr>
        <w:t> </w:t>
      </w:r>
      <w:r>
        <w:rPr>
          <w:color w:val="111313"/>
        </w:rPr>
        <w:t>motivation</w:t>
      </w:r>
      <w:r>
        <w:rPr>
          <w:color w:val="111313"/>
          <w:spacing w:val="20"/>
        </w:rPr>
        <w:t> </w:t>
      </w:r>
      <w:r>
        <w:rPr>
          <w:color w:val="111313"/>
        </w:rPr>
        <w:t>as</w:t>
      </w:r>
      <w:r>
        <w:rPr>
          <w:color w:val="111313"/>
          <w:spacing w:val="1"/>
        </w:rPr>
        <w:t> </w:t>
      </w:r>
      <w:r>
        <w:rPr>
          <w:color w:val="111313"/>
        </w:rPr>
        <w:t>a</w:t>
      </w:r>
      <w:r>
        <w:rPr>
          <w:color w:val="111313"/>
          <w:spacing w:val="2"/>
        </w:rPr>
        <w:t> </w:t>
      </w:r>
      <w:r>
        <w:rPr>
          <w:color w:val="111313"/>
        </w:rPr>
        <w:t>mediator,</w:t>
      </w:r>
      <w:r>
        <w:rPr>
          <w:color w:val="111313"/>
          <w:spacing w:val="17"/>
        </w:rPr>
        <w:t> </w:t>
      </w:r>
      <w:r>
        <w:rPr>
          <w:color w:val="111313"/>
        </w:rPr>
        <w:t>the</w:t>
      </w:r>
      <w:r>
        <w:rPr>
          <w:color w:val="111313"/>
          <w:spacing w:val="6"/>
        </w:rPr>
        <w:t> </w:t>
      </w:r>
      <w:r>
        <w:rPr>
          <w:color w:val="111313"/>
        </w:rPr>
        <w:t>effect</w:t>
      </w:r>
      <w:r>
        <w:rPr>
          <w:color w:val="111313"/>
          <w:spacing w:val="14"/>
        </w:rPr>
        <w:t> </w:t>
      </w:r>
      <w:r>
        <w:rPr>
          <w:color w:val="232323"/>
        </w:rPr>
        <w:t>size</w:t>
      </w:r>
      <w:r>
        <w:rPr>
          <w:color w:val="232323"/>
          <w:spacing w:val="7"/>
        </w:rPr>
        <w:t> </w:t>
      </w:r>
      <w:r>
        <w:rPr>
          <w:color w:val="111313"/>
        </w:rPr>
        <w:t>F</w:t>
      </w:r>
      <w:r>
        <w:rPr>
          <w:color w:val="111313"/>
          <w:spacing w:val="1"/>
        </w:rPr>
        <w:t> </w:t>
      </w:r>
      <w:r>
        <w:rPr>
          <w:color w:val="111313"/>
        </w:rPr>
        <w:t>square</w:t>
      </w:r>
      <w:r>
        <w:rPr>
          <w:color w:val="111313"/>
          <w:spacing w:val="2"/>
        </w:rPr>
        <w:t> </w:t>
      </w:r>
      <w:r>
        <w:rPr>
          <w:rFonts w:ascii="Arial"/>
          <w:color w:val="111313"/>
          <w:sz w:val="20"/>
        </w:rPr>
        <w:t>(P)</w:t>
      </w:r>
      <w:r>
        <w:rPr>
          <w:rFonts w:ascii="Arial"/>
          <w:color w:val="111313"/>
          <w:spacing w:val="62"/>
          <w:sz w:val="20"/>
        </w:rPr>
        <w:t> </w:t>
      </w:r>
      <w:r>
        <w:rPr>
          <w:color w:val="111313"/>
        </w:rPr>
        <w:t>helps</w:t>
      </w:r>
      <w:r>
        <w:rPr>
          <w:color w:val="111313"/>
          <w:spacing w:val="7"/>
        </w:rPr>
        <w:t> </w:t>
      </w:r>
      <w:r>
        <w:rPr>
          <w:color w:val="111313"/>
          <w:spacing w:val="-2"/>
        </w:rPr>
        <w:t>assess</w:t>
      </w:r>
    </w:p>
    <w:p>
      <w:pPr>
        <w:pStyle w:val="BodyText"/>
      </w:pPr>
    </w:p>
    <w:p>
      <w:pPr>
        <w:pStyle w:val="BodyText"/>
      </w:pPr>
    </w:p>
    <w:p>
      <w:pPr>
        <w:pStyle w:val="BodyText"/>
        <w:spacing w:before="223"/>
      </w:pPr>
    </w:p>
    <w:p>
      <w:pPr>
        <w:spacing w:before="0"/>
        <w:ind w:left="854" w:right="823" w:firstLine="0"/>
        <w:jc w:val="center"/>
        <w:rPr>
          <w:sz w:val="17"/>
        </w:rPr>
      </w:pPr>
      <w:r>
        <w:rPr>
          <w:color w:val="3B3838"/>
          <w:spacing w:val="-5"/>
          <w:w w:val="105"/>
          <w:sz w:val="17"/>
        </w:rPr>
        <w:t>69</w:t>
      </w:r>
    </w:p>
    <w:p>
      <w:pPr>
        <w:spacing w:after="0"/>
        <w:jc w:val="center"/>
        <w:rPr>
          <w:sz w:val="17"/>
        </w:rPr>
        <w:sectPr>
          <w:type w:val="continuous"/>
          <w:pgSz w:w="11520" w:h="15120"/>
          <w:pgMar w:top="166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70" w:id="14"/>
      <w:bookmarkEnd w:id="14"/>
      <w:r>
        <w:rPr/>
      </w:r>
      <w:r>
        <w:rPr>
          <w:i/>
          <w:color w:val="3B3838"/>
          <w:sz w:val="18"/>
        </w:rPr>
        <w:t>Mahbub</w:t>
      </w:r>
      <w:r>
        <w:rPr>
          <w:i/>
          <w:color w:val="565454"/>
          <w:sz w:val="18"/>
        </w:rPr>
        <w:t>/</w:t>
      </w:r>
      <w:r>
        <w:rPr>
          <w:i/>
          <w:color w:val="3B3838"/>
          <w:sz w:val="18"/>
        </w:rPr>
        <w:t>Comilla</w:t>
      </w:r>
      <w:r>
        <w:rPr>
          <w:i/>
          <w:color w:val="3B3838"/>
          <w:spacing w:val="-12"/>
          <w:sz w:val="18"/>
        </w:rPr>
        <w:t> </w:t>
      </w:r>
      <w:r>
        <w:rPr>
          <w:i/>
          <w:color w:val="3B3838"/>
          <w:sz w:val="18"/>
        </w:rPr>
        <w:t>Un</w:t>
      </w:r>
      <w:r>
        <w:rPr>
          <w:i/>
          <w:color w:val="131313"/>
          <w:sz w:val="18"/>
        </w:rPr>
        <w:t>i</w:t>
      </w:r>
      <w:r>
        <w:rPr>
          <w:i/>
          <w:color w:val="3B3838"/>
          <w:sz w:val="18"/>
        </w:rPr>
        <w:t>versity</w:t>
      </w:r>
      <w:r>
        <w:rPr>
          <w:i/>
          <w:color w:val="3B3838"/>
          <w:spacing w:val="-11"/>
          <w:sz w:val="18"/>
        </w:rPr>
        <w:t> </w:t>
      </w:r>
      <w:r>
        <w:rPr>
          <w:i/>
          <w:color w:val="3B3838"/>
          <w:sz w:val="18"/>
        </w:rPr>
        <w:t>Journal</w:t>
      </w:r>
      <w:r>
        <w:rPr>
          <w:i/>
          <w:color w:val="3B3838"/>
          <w:spacing w:val="-3"/>
          <w:sz w:val="18"/>
        </w:rPr>
        <w:t> </w:t>
      </w:r>
      <w:r>
        <w:rPr>
          <w:i/>
          <w:color w:val="3B3838"/>
          <w:sz w:val="18"/>
        </w:rPr>
        <w:t>of</w:t>
      </w:r>
      <w:r>
        <w:rPr>
          <w:i/>
          <w:color w:val="3B3838"/>
          <w:spacing w:val="-4"/>
          <w:sz w:val="18"/>
        </w:rPr>
        <w:t> </w:t>
      </w:r>
      <w:r>
        <w:rPr>
          <w:i/>
          <w:color w:val="3B3838"/>
          <w:sz w:val="18"/>
        </w:rPr>
        <w:t>Business</w:t>
      </w:r>
      <w:r>
        <w:rPr>
          <w:i/>
          <w:color w:val="3B3838"/>
          <w:spacing w:val="-1"/>
          <w:sz w:val="18"/>
        </w:rPr>
        <w:t> </w:t>
      </w:r>
      <w:r>
        <w:rPr>
          <w:i/>
          <w:color w:val="3B3838"/>
          <w:sz w:val="18"/>
        </w:rPr>
        <w:t>Studies</w:t>
      </w:r>
      <w:r>
        <w:rPr>
          <w:i/>
          <w:color w:val="3B3838"/>
          <w:spacing w:val="53"/>
          <w:sz w:val="18"/>
        </w:rPr>
        <w:t> </w:t>
      </w:r>
      <w:r>
        <w:rPr>
          <w:i/>
          <w:color w:val="131313"/>
          <w:sz w:val="18"/>
        </w:rPr>
        <w:t>IO</w:t>
      </w:r>
      <w:r>
        <w:rPr>
          <w:i/>
          <w:color w:val="131313"/>
          <w:spacing w:val="-11"/>
          <w:sz w:val="18"/>
        </w:rPr>
        <w:t> </w:t>
      </w:r>
      <w:r>
        <w:rPr>
          <w:i/>
          <w:color w:val="3B3838"/>
          <w:sz w:val="18"/>
        </w:rPr>
        <w:t>(2023)</w:t>
      </w:r>
      <w:r>
        <w:rPr>
          <w:i/>
          <w:color w:val="3B3838"/>
          <w:spacing w:val="-7"/>
          <w:sz w:val="18"/>
        </w:rPr>
        <w:t> </w:t>
      </w:r>
      <w:r>
        <w:rPr>
          <w:i/>
          <w:color w:val="3B3838"/>
          <w:sz w:val="18"/>
        </w:rPr>
        <w:t>5</w:t>
      </w:r>
      <w:r>
        <w:rPr>
          <w:color w:val="3B3838"/>
          <w:sz w:val="17"/>
        </w:rPr>
        <w:t>7</w:t>
      </w:r>
      <w:r>
        <w:rPr>
          <w:color w:val="131313"/>
          <w:sz w:val="17"/>
        </w:rPr>
        <w:t>-</w:t>
      </w:r>
      <w:r>
        <w:rPr>
          <w:i/>
          <w:color w:val="3B3838"/>
          <w:spacing w:val="-7"/>
          <w:sz w:val="18"/>
        </w:rPr>
        <w:t>77</w:t>
      </w:r>
    </w:p>
    <w:p>
      <w:pPr>
        <w:pStyle w:val="BodyText"/>
        <w:spacing w:before="149"/>
        <w:rPr>
          <w:i/>
          <w:sz w:val="18"/>
        </w:rPr>
      </w:pPr>
    </w:p>
    <w:p>
      <w:pPr>
        <w:pStyle w:val="BodyText"/>
        <w:spacing w:line="290" w:lineRule="auto"/>
        <w:ind w:left="313" w:right="316" w:firstLine="4"/>
        <w:jc w:val="both"/>
      </w:pPr>
      <w:r>
        <w:rPr>
          <w:color w:val="131313"/>
        </w:rPr>
        <w:t>the model's explanatory</w:t>
      </w:r>
      <w:r>
        <w:rPr>
          <w:color w:val="131313"/>
          <w:spacing w:val="40"/>
        </w:rPr>
        <w:t> </w:t>
      </w:r>
      <w:r>
        <w:rPr>
          <w:color w:val="030303"/>
        </w:rPr>
        <w:t>power. </w:t>
      </w:r>
      <w:r>
        <w:rPr>
          <w:color w:val="131313"/>
        </w:rPr>
        <w:t>A </w:t>
      </w:r>
      <w:r>
        <w:rPr>
          <w:color w:val="030303"/>
        </w:rPr>
        <w:t>high </w:t>
      </w:r>
      <w:r>
        <w:rPr>
          <w:color w:val="131313"/>
        </w:rPr>
        <w:t>F2 value (typically exceeding</w:t>
      </w:r>
      <w:r>
        <w:rPr>
          <w:color w:val="131313"/>
          <w:spacing w:val="40"/>
        </w:rPr>
        <w:t> </w:t>
      </w:r>
      <w:r>
        <w:rPr>
          <w:color w:val="131313"/>
        </w:rPr>
        <w:t>0.02) suggests</w:t>
      </w:r>
      <w:r>
        <w:rPr>
          <w:color w:val="131313"/>
          <w:spacing w:val="40"/>
        </w:rPr>
        <w:t> </w:t>
      </w:r>
      <w:r>
        <w:rPr>
          <w:color w:val="131313"/>
        </w:rPr>
        <w:t>that T&amp;D, along with training motivation, </w:t>
      </w:r>
      <w:r>
        <w:rPr>
          <w:color w:val="030303"/>
        </w:rPr>
        <w:t>has </w:t>
      </w:r>
      <w:r>
        <w:rPr>
          <w:color w:val="131313"/>
        </w:rPr>
        <w:t>a substantial impact on employee productivity (Cohen, 1988).</w:t>
      </w:r>
    </w:p>
    <w:p>
      <w:pPr>
        <w:spacing w:before="109"/>
        <w:ind w:left="809" w:right="823" w:firstLine="0"/>
        <w:jc w:val="center"/>
        <w:rPr>
          <w:sz w:val="21"/>
        </w:rPr>
      </w:pPr>
      <w:r>
        <w:rPr>
          <w:b/>
          <w:color w:val="131313"/>
          <w:sz w:val="21"/>
        </w:rPr>
        <w:t>Table</w:t>
      </w:r>
      <w:r>
        <w:rPr>
          <w:b/>
          <w:color w:val="131313"/>
          <w:spacing w:val="4"/>
          <w:sz w:val="21"/>
        </w:rPr>
        <w:t> </w:t>
      </w:r>
      <w:r>
        <w:rPr>
          <w:b/>
          <w:color w:val="030303"/>
          <w:sz w:val="21"/>
        </w:rPr>
        <w:t>5: </w:t>
      </w:r>
      <w:r>
        <w:rPr>
          <w:color w:val="131313"/>
          <w:sz w:val="21"/>
        </w:rPr>
        <w:t>Result</w:t>
      </w:r>
      <w:r>
        <w:rPr>
          <w:color w:val="131313"/>
          <w:spacing w:val="6"/>
          <w:sz w:val="21"/>
        </w:rPr>
        <w:t> </w:t>
      </w:r>
      <w:r>
        <w:rPr>
          <w:color w:val="131313"/>
          <w:sz w:val="21"/>
        </w:rPr>
        <w:t>of</w:t>
      </w:r>
      <w:r>
        <w:rPr>
          <w:color w:val="131313"/>
          <w:spacing w:val="11"/>
          <w:sz w:val="21"/>
        </w:rPr>
        <w:t> </w:t>
      </w:r>
      <w:r>
        <w:rPr>
          <w:color w:val="030303"/>
          <w:spacing w:val="-5"/>
          <w:sz w:val="21"/>
        </w:rPr>
        <w:t>F</w:t>
      </w:r>
      <w:r>
        <w:rPr>
          <w:color w:val="030303"/>
          <w:spacing w:val="-5"/>
          <w:sz w:val="21"/>
          <w:vertAlign w:val="superscript"/>
        </w:rPr>
        <w:t>2</w:t>
      </w:r>
    </w:p>
    <w:p>
      <w:pPr>
        <w:pStyle w:val="BodyText"/>
        <w:spacing w:before="10"/>
        <w:rPr>
          <w:sz w:val="16"/>
        </w:rPr>
      </w:pPr>
    </w:p>
    <w:tbl>
      <w:tblPr>
        <w:tblW w:w="0" w:type="auto"/>
        <w:jc w:val="left"/>
        <w:tblInd w:w="16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6"/>
        <w:gridCol w:w="2660"/>
        <w:gridCol w:w="104"/>
        <w:gridCol w:w="802"/>
        <w:gridCol w:w="806"/>
        <w:gridCol w:w="933"/>
      </w:tblGrid>
      <w:tr>
        <w:trPr>
          <w:trHeight w:val="335" w:hRule="atLeast"/>
        </w:trPr>
        <w:tc>
          <w:tcPr>
            <w:tcW w:w="2870" w:type="dxa"/>
            <w:gridSpan w:val="3"/>
            <w:tcBorders>
              <w:top w:val="single" w:sz="12" w:space="0" w:color="010202"/>
              <w:bottom w:val="single" w:sz="12" w:space="0" w:color="000000"/>
            </w:tcBorders>
          </w:tcPr>
          <w:p>
            <w:pPr>
              <w:pStyle w:val="TableParagraph"/>
              <w:rPr>
                <w:sz w:val="20"/>
              </w:rPr>
            </w:pPr>
          </w:p>
        </w:tc>
        <w:tc>
          <w:tcPr>
            <w:tcW w:w="802" w:type="dxa"/>
            <w:tcBorders>
              <w:top w:val="single" w:sz="12" w:space="0" w:color="010202"/>
            </w:tcBorders>
          </w:tcPr>
          <w:p>
            <w:pPr>
              <w:pStyle w:val="TableParagraph"/>
              <w:spacing w:before="11"/>
              <w:ind w:right="99"/>
              <w:jc w:val="center"/>
              <w:rPr>
                <w:b/>
                <w:sz w:val="21"/>
              </w:rPr>
            </w:pPr>
            <w:r>
              <w:rPr>
                <w:b/>
                <w:color w:val="131313"/>
                <w:spacing w:val="-5"/>
                <w:sz w:val="21"/>
              </w:rPr>
              <w:t>EP</w:t>
            </w:r>
          </w:p>
        </w:tc>
        <w:tc>
          <w:tcPr>
            <w:tcW w:w="806" w:type="dxa"/>
            <w:tcBorders>
              <w:top w:val="single" w:sz="12" w:space="0" w:color="010202"/>
            </w:tcBorders>
          </w:tcPr>
          <w:p>
            <w:pPr>
              <w:pStyle w:val="TableParagraph"/>
              <w:spacing w:before="11"/>
              <w:ind w:left="208"/>
              <w:rPr>
                <w:b/>
                <w:sz w:val="21"/>
              </w:rPr>
            </w:pPr>
            <w:r>
              <w:rPr>
                <w:b/>
                <w:color w:val="131313"/>
                <w:spacing w:val="-5"/>
                <w:sz w:val="21"/>
              </w:rPr>
              <w:t>TD</w:t>
            </w:r>
          </w:p>
        </w:tc>
        <w:tc>
          <w:tcPr>
            <w:tcW w:w="933" w:type="dxa"/>
            <w:tcBorders>
              <w:top w:val="single" w:sz="12" w:space="0" w:color="010202"/>
            </w:tcBorders>
          </w:tcPr>
          <w:p>
            <w:pPr>
              <w:pStyle w:val="TableParagraph"/>
              <w:spacing w:before="11"/>
              <w:ind w:left="29" w:right="4"/>
              <w:jc w:val="center"/>
              <w:rPr>
                <w:b/>
                <w:sz w:val="21"/>
              </w:rPr>
            </w:pPr>
            <w:r>
              <w:rPr>
                <w:b/>
                <w:color w:val="131313"/>
                <w:spacing w:val="-5"/>
                <w:sz w:val="21"/>
              </w:rPr>
              <w:t>TM</w:t>
            </w:r>
          </w:p>
        </w:tc>
      </w:tr>
      <w:tr>
        <w:trPr>
          <w:trHeight w:val="304" w:hRule="atLeast"/>
        </w:trPr>
        <w:tc>
          <w:tcPr>
            <w:tcW w:w="106" w:type="dxa"/>
            <w:tcBorders>
              <w:top w:val="single" w:sz="12" w:space="0" w:color="000000"/>
            </w:tcBorders>
          </w:tcPr>
          <w:p>
            <w:pPr>
              <w:pStyle w:val="TableParagraph"/>
              <w:rPr>
                <w:sz w:val="20"/>
              </w:rPr>
            </w:pPr>
          </w:p>
        </w:tc>
        <w:tc>
          <w:tcPr>
            <w:tcW w:w="2660" w:type="dxa"/>
            <w:shd w:val="clear" w:color="auto" w:fill="DFD8E8"/>
          </w:tcPr>
          <w:p>
            <w:pPr>
              <w:pStyle w:val="TableParagraph"/>
              <w:spacing w:line="238" w:lineRule="exact"/>
              <w:ind w:left="3"/>
              <w:rPr>
                <w:sz w:val="21"/>
              </w:rPr>
            </w:pPr>
            <w:r>
              <w:rPr>
                <w:color w:val="131313"/>
                <w:sz w:val="21"/>
              </w:rPr>
              <w:t>Employee</w:t>
            </w:r>
            <w:r>
              <w:rPr>
                <w:color w:val="131313"/>
                <w:spacing w:val="8"/>
                <w:sz w:val="21"/>
              </w:rPr>
              <w:t> </w:t>
            </w:r>
            <w:r>
              <w:rPr>
                <w:color w:val="131313"/>
                <w:spacing w:val="-2"/>
                <w:sz w:val="21"/>
              </w:rPr>
              <w:t>Productivity</w:t>
            </w:r>
          </w:p>
        </w:tc>
        <w:tc>
          <w:tcPr>
            <w:tcW w:w="104" w:type="dxa"/>
            <w:tcBorders>
              <w:top w:val="single" w:sz="12" w:space="0" w:color="000000"/>
            </w:tcBorders>
          </w:tcPr>
          <w:p>
            <w:pPr>
              <w:pStyle w:val="TableParagraph"/>
              <w:rPr>
                <w:sz w:val="20"/>
              </w:rPr>
            </w:pPr>
          </w:p>
        </w:tc>
        <w:tc>
          <w:tcPr>
            <w:tcW w:w="802" w:type="dxa"/>
            <w:shd w:val="clear" w:color="auto" w:fill="DFD8E8"/>
          </w:tcPr>
          <w:p>
            <w:pPr>
              <w:pStyle w:val="TableParagraph"/>
              <w:rPr>
                <w:sz w:val="20"/>
              </w:rPr>
            </w:pPr>
          </w:p>
        </w:tc>
        <w:tc>
          <w:tcPr>
            <w:tcW w:w="806" w:type="dxa"/>
            <w:shd w:val="clear" w:color="auto" w:fill="DFD8E8"/>
          </w:tcPr>
          <w:p>
            <w:pPr>
              <w:pStyle w:val="TableParagraph"/>
              <w:rPr>
                <w:sz w:val="20"/>
              </w:rPr>
            </w:pPr>
          </w:p>
        </w:tc>
        <w:tc>
          <w:tcPr>
            <w:tcW w:w="933" w:type="dxa"/>
            <w:shd w:val="clear" w:color="auto" w:fill="DFD8E8"/>
          </w:tcPr>
          <w:p>
            <w:pPr>
              <w:pStyle w:val="TableParagraph"/>
              <w:rPr>
                <w:sz w:val="20"/>
              </w:rPr>
            </w:pPr>
          </w:p>
        </w:tc>
      </w:tr>
      <w:tr>
        <w:trPr>
          <w:trHeight w:val="322" w:hRule="atLeast"/>
        </w:trPr>
        <w:tc>
          <w:tcPr>
            <w:tcW w:w="106" w:type="dxa"/>
          </w:tcPr>
          <w:p>
            <w:pPr>
              <w:pStyle w:val="TableParagraph"/>
              <w:rPr>
                <w:sz w:val="20"/>
              </w:rPr>
            </w:pPr>
          </w:p>
        </w:tc>
        <w:tc>
          <w:tcPr>
            <w:tcW w:w="2660" w:type="dxa"/>
          </w:tcPr>
          <w:p>
            <w:pPr>
              <w:pStyle w:val="TableParagraph"/>
              <w:spacing w:before="8"/>
              <w:ind w:left="6"/>
              <w:rPr>
                <w:sz w:val="21"/>
              </w:rPr>
            </w:pPr>
            <w:r>
              <w:rPr>
                <w:color w:val="131313"/>
                <w:sz w:val="21"/>
              </w:rPr>
              <w:t>Training</w:t>
            </w:r>
            <w:r>
              <w:rPr>
                <w:color w:val="131313"/>
                <w:spacing w:val="5"/>
                <w:sz w:val="21"/>
              </w:rPr>
              <w:t> </w:t>
            </w:r>
            <w:r>
              <w:rPr>
                <w:color w:val="131313"/>
                <w:sz w:val="21"/>
              </w:rPr>
              <w:t>and</w:t>
            </w:r>
            <w:r>
              <w:rPr>
                <w:color w:val="131313"/>
                <w:spacing w:val="3"/>
                <w:sz w:val="21"/>
              </w:rPr>
              <w:t> </w:t>
            </w:r>
            <w:r>
              <w:rPr>
                <w:color w:val="131313"/>
                <w:spacing w:val="-2"/>
                <w:sz w:val="21"/>
              </w:rPr>
              <w:t>Development</w:t>
            </w:r>
          </w:p>
        </w:tc>
        <w:tc>
          <w:tcPr>
            <w:tcW w:w="104" w:type="dxa"/>
          </w:tcPr>
          <w:p>
            <w:pPr>
              <w:pStyle w:val="TableParagraph"/>
              <w:rPr>
                <w:sz w:val="20"/>
              </w:rPr>
            </w:pPr>
          </w:p>
        </w:tc>
        <w:tc>
          <w:tcPr>
            <w:tcW w:w="802" w:type="dxa"/>
          </w:tcPr>
          <w:p>
            <w:pPr>
              <w:pStyle w:val="TableParagraph"/>
              <w:spacing w:before="8"/>
              <w:ind w:left="6" w:right="99"/>
              <w:jc w:val="center"/>
              <w:rPr>
                <w:sz w:val="21"/>
              </w:rPr>
            </w:pPr>
            <w:r>
              <w:rPr>
                <w:color w:val="131313"/>
                <w:spacing w:val="-2"/>
                <w:sz w:val="21"/>
              </w:rPr>
              <w:t>0.522</w:t>
            </w:r>
          </w:p>
        </w:tc>
        <w:tc>
          <w:tcPr>
            <w:tcW w:w="806" w:type="dxa"/>
          </w:tcPr>
          <w:p>
            <w:pPr>
              <w:pStyle w:val="TableParagraph"/>
              <w:rPr>
                <w:sz w:val="20"/>
              </w:rPr>
            </w:pPr>
          </w:p>
        </w:tc>
        <w:tc>
          <w:tcPr>
            <w:tcW w:w="933" w:type="dxa"/>
          </w:tcPr>
          <w:p>
            <w:pPr>
              <w:pStyle w:val="TableParagraph"/>
              <w:spacing w:before="8"/>
              <w:ind w:left="29"/>
              <w:jc w:val="center"/>
              <w:rPr>
                <w:sz w:val="21"/>
              </w:rPr>
            </w:pPr>
            <w:r>
              <w:rPr>
                <w:color w:val="131313"/>
                <w:spacing w:val="-4"/>
                <w:sz w:val="21"/>
              </w:rPr>
              <w:t>0.01</w:t>
            </w:r>
          </w:p>
        </w:tc>
      </w:tr>
      <w:tr>
        <w:trPr>
          <w:trHeight w:val="320" w:hRule="atLeast"/>
        </w:trPr>
        <w:tc>
          <w:tcPr>
            <w:tcW w:w="106" w:type="dxa"/>
            <w:tcBorders>
              <w:bottom w:val="single" w:sz="12" w:space="0" w:color="010202"/>
            </w:tcBorders>
            <w:shd w:val="clear" w:color="auto" w:fill="DFD8E8"/>
          </w:tcPr>
          <w:p>
            <w:pPr>
              <w:pStyle w:val="TableParagraph"/>
              <w:rPr>
                <w:sz w:val="20"/>
              </w:rPr>
            </w:pPr>
          </w:p>
        </w:tc>
        <w:tc>
          <w:tcPr>
            <w:tcW w:w="2660" w:type="dxa"/>
            <w:tcBorders>
              <w:bottom w:val="single" w:sz="12" w:space="0" w:color="010202"/>
            </w:tcBorders>
            <w:shd w:val="clear" w:color="auto" w:fill="DFD8E8"/>
          </w:tcPr>
          <w:p>
            <w:pPr>
              <w:pStyle w:val="TableParagraph"/>
              <w:spacing w:before="8"/>
              <w:ind w:left="6"/>
              <w:rPr>
                <w:sz w:val="21"/>
              </w:rPr>
            </w:pPr>
            <w:r>
              <w:rPr>
                <w:color w:val="131313"/>
                <w:sz w:val="21"/>
              </w:rPr>
              <w:t>Training</w:t>
            </w:r>
            <w:r>
              <w:rPr>
                <w:color w:val="131313"/>
                <w:spacing w:val="10"/>
                <w:sz w:val="21"/>
              </w:rPr>
              <w:t> </w:t>
            </w:r>
            <w:r>
              <w:rPr>
                <w:color w:val="131313"/>
                <w:spacing w:val="-2"/>
                <w:sz w:val="21"/>
              </w:rPr>
              <w:t>Motivation</w:t>
            </w:r>
          </w:p>
        </w:tc>
        <w:tc>
          <w:tcPr>
            <w:tcW w:w="104" w:type="dxa"/>
            <w:tcBorders>
              <w:bottom w:val="single" w:sz="12" w:space="0" w:color="010202"/>
            </w:tcBorders>
            <w:shd w:val="clear" w:color="auto" w:fill="DFD8E8"/>
          </w:tcPr>
          <w:p>
            <w:pPr>
              <w:pStyle w:val="TableParagraph"/>
              <w:rPr>
                <w:sz w:val="20"/>
              </w:rPr>
            </w:pPr>
          </w:p>
        </w:tc>
        <w:tc>
          <w:tcPr>
            <w:tcW w:w="802" w:type="dxa"/>
            <w:tcBorders>
              <w:bottom w:val="single" w:sz="12" w:space="0" w:color="010202"/>
            </w:tcBorders>
            <w:shd w:val="clear" w:color="auto" w:fill="DFD8E8"/>
          </w:tcPr>
          <w:p>
            <w:pPr>
              <w:pStyle w:val="TableParagraph"/>
              <w:spacing w:before="4"/>
              <w:rPr>
                <w:sz w:val="7"/>
              </w:rPr>
            </w:pPr>
          </w:p>
          <w:p>
            <w:pPr>
              <w:pStyle w:val="TableParagraph"/>
              <w:spacing w:line="146" w:lineRule="exact"/>
              <w:ind w:left="112"/>
              <w:rPr>
                <w:position w:val="-2"/>
                <w:sz w:val="14"/>
              </w:rPr>
            </w:pPr>
            <w:r>
              <w:rPr>
                <w:position w:val="-2"/>
                <w:sz w:val="14"/>
              </w:rPr>
              <mc:AlternateContent>
                <mc:Choice Requires="wps">
                  <w:drawing>
                    <wp:inline distT="0" distB="0" distL="0" distR="0">
                      <wp:extent cx="288290" cy="93345"/>
                      <wp:effectExtent l="0" t="0" r="0" b="0"/>
                      <wp:docPr id="47" name="Group 47"/>
                      <wp:cNvGraphicFramePr>
                        <a:graphicFrameLocks/>
                      </wp:cNvGraphicFramePr>
                      <a:graphic>
                        <a:graphicData uri="http://schemas.microsoft.com/office/word/2010/wordprocessingGroup">
                          <wpg:wgp>
                            <wpg:cNvPr id="47" name="Group 47"/>
                            <wpg:cNvGrpSpPr/>
                            <wpg:grpSpPr>
                              <a:xfrm>
                                <a:off x="0" y="0"/>
                                <a:ext cx="288290" cy="93345"/>
                                <a:chExt cx="288290" cy="93345"/>
                              </a:xfrm>
                            </wpg:grpSpPr>
                            <wps:wsp>
                              <wps:cNvPr id="48" name="Graphic 48"/>
                              <wps:cNvSpPr/>
                              <wps:spPr>
                                <a:xfrm>
                                  <a:off x="0" y="0"/>
                                  <a:ext cx="288290" cy="93345"/>
                                </a:xfrm>
                                <a:custGeom>
                                  <a:avLst/>
                                  <a:gdLst/>
                                  <a:ahLst/>
                                  <a:cxnLst/>
                                  <a:rect l="l" t="t" r="r" b="b"/>
                                  <a:pathLst>
                                    <a:path w="288290" h="93345">
                                      <a:moveTo>
                                        <a:pt x="35931" y="0"/>
                                      </a:moveTo>
                                      <a:lnTo>
                                        <a:pt x="24848" y="0"/>
                                      </a:lnTo>
                                      <a:lnTo>
                                        <a:pt x="20757" y="1430"/>
                                      </a:lnTo>
                                      <a:lnTo>
                                        <a:pt x="16706" y="4349"/>
                                      </a:lnTo>
                                      <a:lnTo>
                                        <a:pt x="11697" y="7895"/>
                                      </a:lnTo>
                                      <a:lnTo>
                                        <a:pt x="0" y="48747"/>
                                      </a:lnTo>
                                      <a:lnTo>
                                        <a:pt x="363" y="55743"/>
                                      </a:lnTo>
                                      <a:lnTo>
                                        <a:pt x="22277" y="91932"/>
                                      </a:lnTo>
                                      <a:lnTo>
                                        <a:pt x="28407" y="92876"/>
                                      </a:lnTo>
                                      <a:lnTo>
                                        <a:pt x="32720" y="92876"/>
                                      </a:lnTo>
                                      <a:lnTo>
                                        <a:pt x="37192" y="91239"/>
                                      </a:lnTo>
                                      <a:lnTo>
                                        <a:pt x="40759" y="88722"/>
                                      </a:lnTo>
                                      <a:lnTo>
                                        <a:pt x="23637" y="88722"/>
                                      </a:lnTo>
                                      <a:lnTo>
                                        <a:pt x="19897" y="85446"/>
                                      </a:lnTo>
                                      <a:lnTo>
                                        <a:pt x="12948" y="39711"/>
                                      </a:lnTo>
                                      <a:lnTo>
                                        <a:pt x="13418" y="33422"/>
                                      </a:lnTo>
                                      <a:lnTo>
                                        <a:pt x="15704" y="17766"/>
                                      </a:lnTo>
                                      <a:lnTo>
                                        <a:pt x="17787" y="12222"/>
                                      </a:lnTo>
                                      <a:lnTo>
                                        <a:pt x="17860" y="12028"/>
                                      </a:lnTo>
                                      <a:lnTo>
                                        <a:pt x="23353" y="5695"/>
                                      </a:lnTo>
                                      <a:lnTo>
                                        <a:pt x="26014" y="4349"/>
                                      </a:lnTo>
                                      <a:lnTo>
                                        <a:pt x="42754" y="4349"/>
                                      </a:lnTo>
                                      <a:lnTo>
                                        <a:pt x="42088" y="3496"/>
                                      </a:lnTo>
                                      <a:lnTo>
                                        <a:pt x="35931" y="0"/>
                                      </a:lnTo>
                                      <a:close/>
                                    </a:path>
                                    <a:path w="288290" h="93345">
                                      <a:moveTo>
                                        <a:pt x="42754" y="4349"/>
                                      </a:moveTo>
                                      <a:lnTo>
                                        <a:pt x="31555" y="4349"/>
                                      </a:lnTo>
                                      <a:lnTo>
                                        <a:pt x="33735" y="5076"/>
                                      </a:lnTo>
                                      <a:lnTo>
                                        <a:pt x="35536" y="6527"/>
                                      </a:lnTo>
                                      <a:lnTo>
                                        <a:pt x="44610" y="35173"/>
                                      </a:lnTo>
                                      <a:lnTo>
                                        <a:pt x="44603" y="53203"/>
                                      </a:lnTo>
                                      <a:lnTo>
                                        <a:pt x="30982" y="88722"/>
                                      </a:lnTo>
                                      <a:lnTo>
                                        <a:pt x="40759" y="88722"/>
                                      </a:lnTo>
                                      <a:lnTo>
                                        <a:pt x="57485" y="53203"/>
                                      </a:lnTo>
                                      <a:lnTo>
                                        <a:pt x="57652" y="48747"/>
                                      </a:lnTo>
                                      <a:lnTo>
                                        <a:pt x="57766" y="45713"/>
                                      </a:lnTo>
                                      <a:lnTo>
                                        <a:pt x="47541" y="10483"/>
                                      </a:lnTo>
                                      <a:lnTo>
                                        <a:pt x="42754" y="4349"/>
                                      </a:lnTo>
                                      <a:close/>
                                    </a:path>
                                    <a:path w="288290" h="93345">
                                      <a:moveTo>
                                        <a:pt x="82887" y="78498"/>
                                      </a:moveTo>
                                      <a:lnTo>
                                        <a:pt x="78797" y="78498"/>
                                      </a:lnTo>
                                      <a:lnTo>
                                        <a:pt x="77059" y="79211"/>
                                      </a:lnTo>
                                      <a:lnTo>
                                        <a:pt x="74190" y="82073"/>
                                      </a:lnTo>
                                      <a:lnTo>
                                        <a:pt x="73498" y="83794"/>
                                      </a:lnTo>
                                      <a:lnTo>
                                        <a:pt x="73498" y="87844"/>
                                      </a:lnTo>
                                      <a:lnTo>
                                        <a:pt x="74214" y="89568"/>
                                      </a:lnTo>
                                      <a:lnTo>
                                        <a:pt x="77069" y="92426"/>
                                      </a:lnTo>
                                      <a:lnTo>
                                        <a:pt x="78797" y="93139"/>
                                      </a:lnTo>
                                      <a:lnTo>
                                        <a:pt x="82844" y="93139"/>
                                      </a:lnTo>
                                      <a:lnTo>
                                        <a:pt x="84564" y="92426"/>
                                      </a:lnTo>
                                      <a:lnTo>
                                        <a:pt x="87426" y="89568"/>
                                      </a:lnTo>
                                      <a:lnTo>
                                        <a:pt x="88142" y="87844"/>
                                      </a:lnTo>
                                      <a:lnTo>
                                        <a:pt x="88142" y="83794"/>
                                      </a:lnTo>
                                      <a:lnTo>
                                        <a:pt x="87437" y="82073"/>
                                      </a:lnTo>
                                      <a:lnTo>
                                        <a:pt x="84622" y="79211"/>
                                      </a:lnTo>
                                      <a:lnTo>
                                        <a:pt x="82887" y="78498"/>
                                      </a:lnTo>
                                      <a:close/>
                                    </a:path>
                                    <a:path w="288290" h="93345">
                                      <a:moveTo>
                                        <a:pt x="137257" y="0"/>
                                      </a:moveTo>
                                      <a:lnTo>
                                        <a:pt x="126173" y="0"/>
                                      </a:lnTo>
                                      <a:lnTo>
                                        <a:pt x="122083" y="1430"/>
                                      </a:lnTo>
                                      <a:lnTo>
                                        <a:pt x="118031" y="4349"/>
                                      </a:lnTo>
                                      <a:lnTo>
                                        <a:pt x="113025" y="7895"/>
                                      </a:lnTo>
                                      <a:lnTo>
                                        <a:pt x="101325" y="48747"/>
                                      </a:lnTo>
                                      <a:lnTo>
                                        <a:pt x="101689" y="55743"/>
                                      </a:lnTo>
                                      <a:lnTo>
                                        <a:pt x="123604" y="91932"/>
                                      </a:lnTo>
                                      <a:lnTo>
                                        <a:pt x="129737" y="92876"/>
                                      </a:lnTo>
                                      <a:lnTo>
                                        <a:pt x="134046" y="92876"/>
                                      </a:lnTo>
                                      <a:lnTo>
                                        <a:pt x="138518" y="91239"/>
                                      </a:lnTo>
                                      <a:lnTo>
                                        <a:pt x="142084" y="88722"/>
                                      </a:lnTo>
                                      <a:lnTo>
                                        <a:pt x="124963" y="88722"/>
                                      </a:lnTo>
                                      <a:lnTo>
                                        <a:pt x="121223" y="85446"/>
                                      </a:lnTo>
                                      <a:lnTo>
                                        <a:pt x="114273" y="39711"/>
                                      </a:lnTo>
                                      <a:lnTo>
                                        <a:pt x="114743" y="33422"/>
                                      </a:lnTo>
                                      <a:lnTo>
                                        <a:pt x="117029" y="17766"/>
                                      </a:lnTo>
                                      <a:lnTo>
                                        <a:pt x="119112" y="12222"/>
                                      </a:lnTo>
                                      <a:lnTo>
                                        <a:pt x="119185" y="12028"/>
                                      </a:lnTo>
                                      <a:lnTo>
                                        <a:pt x="124679" y="5695"/>
                                      </a:lnTo>
                                      <a:lnTo>
                                        <a:pt x="127339" y="4349"/>
                                      </a:lnTo>
                                      <a:lnTo>
                                        <a:pt x="144080" y="4349"/>
                                      </a:lnTo>
                                      <a:lnTo>
                                        <a:pt x="143414" y="3496"/>
                                      </a:lnTo>
                                      <a:lnTo>
                                        <a:pt x="137257" y="0"/>
                                      </a:lnTo>
                                      <a:close/>
                                    </a:path>
                                    <a:path w="288290" h="93345">
                                      <a:moveTo>
                                        <a:pt x="144080" y="4349"/>
                                      </a:moveTo>
                                      <a:lnTo>
                                        <a:pt x="132879" y="4349"/>
                                      </a:lnTo>
                                      <a:lnTo>
                                        <a:pt x="135061" y="5076"/>
                                      </a:lnTo>
                                      <a:lnTo>
                                        <a:pt x="136862" y="6527"/>
                                      </a:lnTo>
                                      <a:lnTo>
                                        <a:pt x="145938" y="35173"/>
                                      </a:lnTo>
                                      <a:lnTo>
                                        <a:pt x="145931" y="53203"/>
                                      </a:lnTo>
                                      <a:lnTo>
                                        <a:pt x="132307" y="88722"/>
                                      </a:lnTo>
                                      <a:lnTo>
                                        <a:pt x="142084" y="88722"/>
                                      </a:lnTo>
                                      <a:lnTo>
                                        <a:pt x="158811" y="53203"/>
                                      </a:lnTo>
                                      <a:lnTo>
                                        <a:pt x="158978" y="48747"/>
                                      </a:lnTo>
                                      <a:lnTo>
                                        <a:pt x="159092" y="45713"/>
                                      </a:lnTo>
                                      <a:lnTo>
                                        <a:pt x="148867" y="10483"/>
                                      </a:lnTo>
                                      <a:lnTo>
                                        <a:pt x="144080" y="4349"/>
                                      </a:lnTo>
                                      <a:close/>
                                    </a:path>
                                    <a:path w="288290" h="93345">
                                      <a:moveTo>
                                        <a:pt x="214967" y="88851"/>
                                      </a:moveTo>
                                      <a:lnTo>
                                        <a:pt x="181321" y="88851"/>
                                      </a:lnTo>
                                      <a:lnTo>
                                        <a:pt x="181321" y="91292"/>
                                      </a:lnTo>
                                      <a:lnTo>
                                        <a:pt x="214967" y="91292"/>
                                      </a:lnTo>
                                      <a:lnTo>
                                        <a:pt x="214967" y="88851"/>
                                      </a:lnTo>
                                      <a:close/>
                                    </a:path>
                                    <a:path w="288290" h="93345">
                                      <a:moveTo>
                                        <a:pt x="203684" y="10617"/>
                                      </a:moveTo>
                                      <a:lnTo>
                                        <a:pt x="188665" y="10617"/>
                                      </a:lnTo>
                                      <a:lnTo>
                                        <a:pt x="189644" y="10948"/>
                                      </a:lnTo>
                                      <a:lnTo>
                                        <a:pt x="191271" y="12265"/>
                                      </a:lnTo>
                                      <a:lnTo>
                                        <a:pt x="191834" y="13299"/>
                                      </a:lnTo>
                                      <a:lnTo>
                                        <a:pt x="192140" y="14706"/>
                                      </a:lnTo>
                                      <a:lnTo>
                                        <a:pt x="192578" y="16553"/>
                                      </a:lnTo>
                                      <a:lnTo>
                                        <a:pt x="192801" y="20732"/>
                                      </a:lnTo>
                                      <a:lnTo>
                                        <a:pt x="192801" y="80892"/>
                                      </a:lnTo>
                                      <a:lnTo>
                                        <a:pt x="192591" y="83661"/>
                                      </a:lnTo>
                                      <a:lnTo>
                                        <a:pt x="192556" y="84110"/>
                                      </a:lnTo>
                                      <a:lnTo>
                                        <a:pt x="191652" y="86126"/>
                                      </a:lnTo>
                                      <a:lnTo>
                                        <a:pt x="191589" y="86267"/>
                                      </a:lnTo>
                                      <a:lnTo>
                                        <a:pt x="190735" y="87124"/>
                                      </a:lnTo>
                                      <a:lnTo>
                                        <a:pt x="188273" y="88405"/>
                                      </a:lnTo>
                                      <a:lnTo>
                                        <a:pt x="184889" y="88851"/>
                                      </a:lnTo>
                                      <a:lnTo>
                                        <a:pt x="211541" y="88851"/>
                                      </a:lnTo>
                                      <a:lnTo>
                                        <a:pt x="203708" y="80892"/>
                                      </a:lnTo>
                                      <a:lnTo>
                                        <a:pt x="203684" y="10617"/>
                                      </a:lnTo>
                                      <a:close/>
                                    </a:path>
                                    <a:path w="288290" h="93345">
                                      <a:moveTo>
                                        <a:pt x="203684" y="0"/>
                                      </a:moveTo>
                                      <a:lnTo>
                                        <a:pt x="201506" y="0"/>
                                      </a:lnTo>
                                      <a:lnTo>
                                        <a:pt x="179741" y="10617"/>
                                      </a:lnTo>
                                      <a:lnTo>
                                        <a:pt x="180727" y="12665"/>
                                      </a:lnTo>
                                      <a:lnTo>
                                        <a:pt x="183632" y="11300"/>
                                      </a:lnTo>
                                      <a:lnTo>
                                        <a:pt x="185896" y="10617"/>
                                      </a:lnTo>
                                      <a:lnTo>
                                        <a:pt x="203684" y="10617"/>
                                      </a:lnTo>
                                      <a:lnTo>
                                        <a:pt x="203684" y="0"/>
                                      </a:lnTo>
                                      <a:close/>
                                    </a:path>
                                    <a:path w="288290" h="93345">
                                      <a:moveTo>
                                        <a:pt x="243309" y="81000"/>
                                      </a:moveTo>
                                      <a:lnTo>
                                        <a:pt x="240757" y="81000"/>
                                      </a:lnTo>
                                      <a:lnTo>
                                        <a:pt x="239512" y="81489"/>
                                      </a:lnTo>
                                      <a:lnTo>
                                        <a:pt x="237448" y="83423"/>
                                      </a:lnTo>
                                      <a:lnTo>
                                        <a:pt x="236934" y="84542"/>
                                      </a:lnTo>
                                      <a:lnTo>
                                        <a:pt x="236934" y="87534"/>
                                      </a:lnTo>
                                      <a:lnTo>
                                        <a:pt x="238017" y="89140"/>
                                      </a:lnTo>
                                      <a:lnTo>
                                        <a:pt x="242449" y="92183"/>
                                      </a:lnTo>
                                      <a:lnTo>
                                        <a:pt x="242658" y="92183"/>
                                      </a:lnTo>
                                      <a:lnTo>
                                        <a:pt x="246474" y="92876"/>
                                      </a:lnTo>
                                      <a:lnTo>
                                        <a:pt x="252500" y="92876"/>
                                      </a:lnTo>
                                      <a:lnTo>
                                        <a:pt x="261095" y="92183"/>
                                      </a:lnTo>
                                      <a:lnTo>
                                        <a:pt x="268610" y="90106"/>
                                      </a:lnTo>
                                      <a:lnTo>
                                        <a:pt x="274126" y="87138"/>
                                      </a:lnTo>
                                      <a:lnTo>
                                        <a:pt x="259492" y="87138"/>
                                      </a:lnTo>
                                      <a:lnTo>
                                        <a:pt x="257757" y="86893"/>
                                      </a:lnTo>
                                      <a:lnTo>
                                        <a:pt x="256126" y="86410"/>
                                      </a:lnTo>
                                      <a:lnTo>
                                        <a:pt x="255118" y="86147"/>
                                      </a:lnTo>
                                      <a:lnTo>
                                        <a:pt x="253458" y="85399"/>
                                      </a:lnTo>
                                      <a:lnTo>
                                        <a:pt x="248015" y="82552"/>
                                      </a:lnTo>
                                      <a:lnTo>
                                        <a:pt x="246419" y="81795"/>
                                      </a:lnTo>
                                      <a:lnTo>
                                        <a:pt x="244429" y="81177"/>
                                      </a:lnTo>
                                      <a:lnTo>
                                        <a:pt x="243309" y="81000"/>
                                      </a:lnTo>
                                      <a:close/>
                                    </a:path>
                                    <a:path w="288290" h="93345">
                                      <a:moveTo>
                                        <a:pt x="280670" y="8968"/>
                                      </a:moveTo>
                                      <a:lnTo>
                                        <a:pt x="261799" y="8968"/>
                                      </a:lnTo>
                                      <a:lnTo>
                                        <a:pt x="265581" y="10462"/>
                                      </a:lnTo>
                                      <a:lnTo>
                                        <a:pt x="265429" y="10462"/>
                                      </a:lnTo>
                                      <a:lnTo>
                                        <a:pt x="271000" y="15952"/>
                                      </a:lnTo>
                                      <a:lnTo>
                                        <a:pt x="272419" y="19613"/>
                                      </a:lnTo>
                                      <a:lnTo>
                                        <a:pt x="272419" y="27612"/>
                                      </a:lnTo>
                                      <a:lnTo>
                                        <a:pt x="251971" y="44917"/>
                                      </a:lnTo>
                                      <a:lnTo>
                                        <a:pt x="251971" y="46901"/>
                                      </a:lnTo>
                                      <a:lnTo>
                                        <a:pt x="257512" y="46901"/>
                                      </a:lnTo>
                                      <a:lnTo>
                                        <a:pt x="260877" y="47613"/>
                                      </a:lnTo>
                                      <a:lnTo>
                                        <a:pt x="278029" y="66118"/>
                                      </a:lnTo>
                                      <a:lnTo>
                                        <a:pt x="278029" y="74340"/>
                                      </a:lnTo>
                                      <a:lnTo>
                                        <a:pt x="276369" y="78455"/>
                                      </a:lnTo>
                                      <a:lnTo>
                                        <a:pt x="269727" y="85399"/>
                                      </a:lnTo>
                                      <a:lnTo>
                                        <a:pt x="265828" y="87138"/>
                                      </a:lnTo>
                                      <a:lnTo>
                                        <a:pt x="274126" y="87138"/>
                                      </a:lnTo>
                                      <a:lnTo>
                                        <a:pt x="275046" y="86643"/>
                                      </a:lnTo>
                                      <a:lnTo>
                                        <a:pt x="280401" y="81795"/>
                                      </a:lnTo>
                                      <a:lnTo>
                                        <a:pt x="285328" y="76122"/>
                                      </a:lnTo>
                                      <a:lnTo>
                                        <a:pt x="287787" y="69415"/>
                                      </a:lnTo>
                                      <a:lnTo>
                                        <a:pt x="287787" y="56268"/>
                                      </a:lnTo>
                                      <a:lnTo>
                                        <a:pt x="286384" y="51559"/>
                                      </a:lnTo>
                                      <a:lnTo>
                                        <a:pt x="280753" y="43557"/>
                                      </a:lnTo>
                                      <a:lnTo>
                                        <a:pt x="276599" y="40478"/>
                                      </a:lnTo>
                                      <a:lnTo>
                                        <a:pt x="271102" y="38322"/>
                                      </a:lnTo>
                                      <a:lnTo>
                                        <a:pt x="279281" y="31377"/>
                                      </a:lnTo>
                                      <a:lnTo>
                                        <a:pt x="283366" y="24645"/>
                                      </a:lnTo>
                                      <a:lnTo>
                                        <a:pt x="283366" y="14184"/>
                                      </a:lnTo>
                                      <a:lnTo>
                                        <a:pt x="281916" y="10462"/>
                                      </a:lnTo>
                                      <a:lnTo>
                                        <a:pt x="280670" y="8968"/>
                                      </a:lnTo>
                                      <a:close/>
                                    </a:path>
                                    <a:path w="288290" h="93345">
                                      <a:moveTo>
                                        <a:pt x="269694" y="0"/>
                                      </a:moveTo>
                                      <a:lnTo>
                                        <a:pt x="256723" y="0"/>
                                      </a:lnTo>
                                      <a:lnTo>
                                        <a:pt x="251870" y="1638"/>
                                      </a:lnTo>
                                      <a:lnTo>
                                        <a:pt x="244088" y="8190"/>
                                      </a:lnTo>
                                      <a:lnTo>
                                        <a:pt x="240866" y="12838"/>
                                      </a:lnTo>
                                      <a:lnTo>
                                        <a:pt x="238317" y="18864"/>
                                      </a:lnTo>
                                      <a:lnTo>
                                        <a:pt x="240495" y="19919"/>
                                      </a:lnTo>
                                      <a:lnTo>
                                        <a:pt x="245067" y="12622"/>
                                      </a:lnTo>
                                      <a:lnTo>
                                        <a:pt x="250762" y="8968"/>
                                      </a:lnTo>
                                      <a:lnTo>
                                        <a:pt x="280670" y="8968"/>
                                      </a:lnTo>
                                      <a:lnTo>
                                        <a:pt x="279018" y="6987"/>
                                      </a:lnTo>
                                      <a:lnTo>
                                        <a:pt x="275191" y="2329"/>
                                      </a:lnTo>
                                      <a:lnTo>
                                        <a:pt x="269694" y="0"/>
                                      </a:lnTo>
                                      <a:close/>
                                    </a:path>
                                  </a:pathLst>
                                </a:custGeom>
                                <a:solidFill>
                                  <a:srgbClr val="010202"/>
                                </a:solidFill>
                              </wps:spPr>
                              <wps:bodyPr wrap="square" lIns="0" tIns="0" rIns="0" bIns="0" rtlCol="0">
                                <a:prstTxWarp prst="textNoShape">
                                  <a:avLst/>
                                </a:prstTxWarp>
                                <a:noAutofit/>
                              </wps:bodyPr>
                            </wps:wsp>
                          </wpg:wgp>
                        </a:graphicData>
                      </a:graphic>
                    </wp:inline>
                  </w:drawing>
                </mc:Choice>
                <mc:Fallback>
                  <w:pict>
                    <v:group style="width:22.7pt;height:7.35pt;mso-position-horizontal-relative:char;mso-position-vertical-relative:line" id="docshapegroup45" coordorigin="0,0" coordsize="454,147">
                      <v:shape style="position:absolute;left:0;top:0;width:454;height:147" id="docshape46" coordorigin="0,0" coordsize="454,147" path="m57,0l39,0,33,2,26,7,18,12,12,21,7,33,4,42,2,52,0,63,0,67,0,77,1,88,3,100,6,112,11,122,18,133,26,140,35,145,45,146,52,146,59,144,64,140,37,140,31,135,27,124,24,114,22,103,21,91,21,88,20,63,21,53,25,28,28,19,28,19,37,9,41,7,67,7,66,6,57,0xm67,7l50,7,53,8,56,10,60,14,63,19,63,19,66,27,68,36,69,45,70,55,70,84,70,95,69,96,68,108,66,118,64,125,64,126,61,131,53,138,49,140,64,140,73,133,79,125,84,114,87,105,89,95,91,84,91,77,91,72,90,56,90,55,87,41,82,28,82,28,75,17,67,7xm131,124l124,124,121,125,117,129,116,132,116,138,117,141,121,146,124,147,130,147,133,146,138,141,139,138,139,132,138,129,133,125,131,124xm216,0l199,0,192,2,186,7,178,12,172,21,167,33,164,42,161,52,160,63,160,67,160,77,160,88,162,100,166,112,171,122,178,133,186,140,195,145,204,146,211,146,218,144,224,140,197,140,191,135,187,124,184,114,182,103,180,91,180,88,180,63,181,53,184,28,188,19,188,19,196,9,201,7,227,7,226,6,216,0xm227,7l209,7,213,8,216,10,219,14,223,19,223,19,225,27,227,36,229,45,230,55,230,84,229,95,229,96,227,108,225,118,223,125,223,126,220,131,212,138,208,140,224,140,233,133,239,125,243,114,247,105,249,95,250,84,250,77,251,72,250,56,250,55,247,41,242,28,241,28,234,17,227,7xm339,140l286,140,286,144,339,144,339,140xm321,17l297,17,299,17,301,19,302,21,303,23,303,26,304,33,304,127,303,132,303,132,302,136,302,136,300,137,296,139,291,140,333,140,328,139,324,137,322,136,321,132,321,127,321,17xm321,0l317,0,283,17,285,20,289,18,293,17,321,17,321,0xm383,128l379,128,377,128,374,131,373,133,373,138,375,140,382,145,382,145,388,146,398,146,411,145,423,142,432,137,409,137,406,137,403,136,402,136,399,134,391,130,388,129,385,128,383,128xm442,14l412,14,418,16,418,16,427,25,429,31,429,43,428,49,423,58,419,62,408,68,402,70,397,71,397,74,406,74,411,75,421,79,425,82,430,87,432,90,437,99,438,104,438,117,435,124,425,134,419,137,432,137,433,136,442,129,449,120,453,109,453,89,451,81,442,69,436,64,427,60,440,49,446,39,446,22,444,16,442,14xm425,0l404,0,397,3,384,13,379,20,375,30,379,31,386,20,395,14,442,14,439,11,433,4,425,0xe" filled="true" fillcolor="#010202" stroked="false">
                        <v:path arrowok="t"/>
                        <v:fill type="solid"/>
                      </v:shape>
                    </v:group>
                  </w:pict>
                </mc:Fallback>
              </mc:AlternateContent>
            </w:r>
            <w:r>
              <w:rPr>
                <w:position w:val="-2"/>
                <w:sz w:val="14"/>
              </w:rPr>
            </w:r>
          </w:p>
        </w:tc>
        <w:tc>
          <w:tcPr>
            <w:tcW w:w="806" w:type="dxa"/>
            <w:tcBorders>
              <w:bottom w:val="single" w:sz="12" w:space="0" w:color="010202"/>
            </w:tcBorders>
            <w:shd w:val="clear" w:color="auto" w:fill="DFD8E8"/>
          </w:tcPr>
          <w:p>
            <w:pPr>
              <w:pStyle w:val="TableParagraph"/>
              <w:rPr>
                <w:sz w:val="20"/>
              </w:rPr>
            </w:pPr>
          </w:p>
        </w:tc>
        <w:tc>
          <w:tcPr>
            <w:tcW w:w="933" w:type="dxa"/>
            <w:tcBorders>
              <w:bottom w:val="single" w:sz="12" w:space="0" w:color="010202"/>
            </w:tcBorders>
            <w:shd w:val="clear" w:color="auto" w:fill="DFD8E8"/>
          </w:tcPr>
          <w:p>
            <w:pPr>
              <w:pStyle w:val="TableParagraph"/>
              <w:rPr>
                <w:sz w:val="20"/>
              </w:rPr>
            </w:pPr>
          </w:p>
        </w:tc>
      </w:tr>
    </w:tbl>
    <w:p>
      <w:pPr>
        <w:pStyle w:val="BodyText"/>
        <w:spacing w:line="280" w:lineRule="auto" w:before="34"/>
        <w:ind w:left="313" w:right="306" w:firstLine="1"/>
        <w:jc w:val="both"/>
      </w:pPr>
      <w:r>
        <w:rPr>
          <w:color w:val="131313"/>
        </w:rPr>
        <w:t>In</w:t>
      </w:r>
      <w:r>
        <w:rPr>
          <w:color w:val="131313"/>
          <w:spacing w:val="40"/>
        </w:rPr>
        <w:t> </w:t>
      </w:r>
      <w:r>
        <w:rPr>
          <w:color w:val="131313"/>
        </w:rPr>
        <w:t>the context of the Readymade</w:t>
      </w:r>
      <w:r>
        <w:rPr>
          <w:color w:val="131313"/>
          <w:spacing w:val="40"/>
        </w:rPr>
        <w:t> </w:t>
      </w:r>
      <w:r>
        <w:rPr>
          <w:color w:val="131313"/>
        </w:rPr>
        <w:t>Garments</w:t>
      </w:r>
      <w:r>
        <w:rPr>
          <w:color w:val="131313"/>
          <w:spacing w:val="40"/>
        </w:rPr>
        <w:t> </w:t>
      </w:r>
      <w:r>
        <w:rPr>
          <w:color w:val="131313"/>
        </w:rPr>
        <w:t>Industry</w:t>
      </w:r>
      <w:r>
        <w:rPr>
          <w:color w:val="131313"/>
          <w:spacing w:val="40"/>
        </w:rPr>
        <w:t> </w:t>
      </w:r>
      <w:r>
        <w:rPr>
          <w:color w:val="131313"/>
        </w:rPr>
        <w:t>of Bangladesh,</w:t>
      </w:r>
      <w:r>
        <w:rPr>
          <w:color w:val="131313"/>
          <w:spacing w:val="40"/>
        </w:rPr>
        <w:t> </w:t>
      </w:r>
      <w:r>
        <w:rPr>
          <w:color w:val="131313"/>
        </w:rPr>
        <w:t>the effect size </w:t>
      </w:r>
      <w:r>
        <w:rPr>
          <w:rFonts w:ascii="Arial"/>
          <w:color w:val="131313"/>
          <w:sz w:val="20"/>
        </w:rPr>
        <w:t>(P) </w:t>
      </w:r>
      <w:r>
        <w:rPr>
          <w:color w:val="131313"/>
        </w:rPr>
        <w:t>provides valuable insights into the magnitude of the relationship between Training &amp; Development (T&amp;D) and Employee Productivity (EP), considering the mediating role of Training Motivation (TM). The effect size is calculated as the squared correlation coefficient divided</w:t>
      </w:r>
      <w:r>
        <w:rPr>
          <w:color w:val="131313"/>
          <w:spacing w:val="26"/>
        </w:rPr>
        <w:t> </w:t>
      </w:r>
      <w:r>
        <w:rPr>
          <w:color w:val="131313"/>
        </w:rPr>
        <w:t>by 1</w:t>
      </w:r>
      <w:r>
        <w:rPr>
          <w:color w:val="131313"/>
          <w:spacing w:val="25"/>
        </w:rPr>
        <w:t> </w:t>
      </w:r>
      <w:r>
        <w:rPr>
          <w:color w:val="030303"/>
        </w:rPr>
        <w:t>minus</w:t>
      </w:r>
      <w:r>
        <w:rPr>
          <w:color w:val="030303"/>
          <w:spacing w:val="29"/>
        </w:rPr>
        <w:t> </w:t>
      </w:r>
      <w:r>
        <w:rPr>
          <w:color w:val="131313"/>
        </w:rPr>
        <w:t>the squared</w:t>
      </w:r>
      <w:r>
        <w:rPr>
          <w:color w:val="131313"/>
          <w:spacing w:val="27"/>
        </w:rPr>
        <w:t> </w:t>
      </w:r>
      <w:r>
        <w:rPr>
          <w:color w:val="131313"/>
        </w:rPr>
        <w:t>correlation</w:t>
      </w:r>
      <w:r>
        <w:rPr>
          <w:color w:val="131313"/>
          <w:spacing w:val="36"/>
        </w:rPr>
        <w:t> </w:t>
      </w:r>
      <w:r>
        <w:rPr>
          <w:color w:val="131313"/>
        </w:rPr>
        <w:t>coefficient</w:t>
      </w:r>
      <w:r>
        <w:rPr>
          <w:color w:val="131313"/>
          <w:spacing w:val="31"/>
        </w:rPr>
        <w:t> </w:t>
      </w:r>
      <w:r>
        <w:rPr>
          <w:color w:val="131313"/>
        </w:rPr>
        <w:t>of the predictor</w:t>
      </w:r>
      <w:r>
        <w:rPr>
          <w:color w:val="131313"/>
          <w:spacing w:val="36"/>
        </w:rPr>
        <w:t> </w:t>
      </w:r>
      <w:r>
        <w:rPr>
          <w:color w:val="131313"/>
        </w:rPr>
        <w:t>variable</w:t>
      </w:r>
      <w:r>
        <w:rPr>
          <w:color w:val="131313"/>
          <w:spacing w:val="26"/>
        </w:rPr>
        <w:t> </w:t>
      </w:r>
      <w:r>
        <w:rPr>
          <w:b/>
          <w:color w:val="131313"/>
        </w:rPr>
        <w:t>(T&amp;D)</w:t>
      </w:r>
      <w:r>
        <w:rPr>
          <w:b/>
          <w:color w:val="131313"/>
          <w:spacing w:val="24"/>
        </w:rPr>
        <w:t> </w:t>
      </w:r>
      <w:r>
        <w:rPr>
          <w:color w:val="131313"/>
        </w:rPr>
        <w:t>and the dependent variable (EP) (Cohen, 1988). With a correlation coefficient of 0.522 between T&amp;D and EP</w:t>
      </w:r>
      <w:r>
        <w:rPr>
          <w:color w:val="3B3838"/>
        </w:rPr>
        <w:t>, </w:t>
      </w:r>
      <w:r>
        <w:rPr>
          <w:color w:val="131313"/>
        </w:rPr>
        <w:t>the effect size </w:t>
      </w:r>
      <w:r>
        <w:rPr>
          <w:rFonts w:ascii="Arial"/>
          <w:color w:val="131313"/>
          <w:sz w:val="20"/>
        </w:rPr>
        <w:t>(P)</w:t>
      </w:r>
      <w:r>
        <w:rPr>
          <w:rFonts w:ascii="Arial"/>
          <w:color w:val="131313"/>
          <w:spacing w:val="40"/>
          <w:sz w:val="20"/>
        </w:rPr>
        <w:t> </w:t>
      </w:r>
      <w:r>
        <w:rPr>
          <w:color w:val="030303"/>
        </w:rPr>
        <w:t>is </w:t>
      </w:r>
      <w:r>
        <w:rPr>
          <w:color w:val="131313"/>
        </w:rPr>
        <w:t>approximately 0</w:t>
      </w:r>
      <w:r>
        <w:rPr>
          <w:color w:val="030303"/>
        </w:rPr>
        <w:t>.2</w:t>
      </w:r>
      <w:r>
        <w:rPr>
          <w:color w:val="131313"/>
        </w:rPr>
        <w:t>71, indicating a medium effect (Cohen, 1988). This suggests that T&amp;D accounts for about 27.1% of the variability in EP in the Readymade</w:t>
      </w:r>
      <w:r>
        <w:rPr>
          <w:color w:val="131313"/>
          <w:spacing w:val="40"/>
        </w:rPr>
        <w:t> </w:t>
      </w:r>
      <w:r>
        <w:rPr>
          <w:color w:val="131313"/>
        </w:rPr>
        <w:t>Garments</w:t>
      </w:r>
      <w:r>
        <w:rPr>
          <w:color w:val="131313"/>
          <w:spacing w:val="40"/>
        </w:rPr>
        <w:t> </w:t>
      </w:r>
      <w:r>
        <w:rPr>
          <w:color w:val="131313"/>
        </w:rPr>
        <w:t>Industry</w:t>
      </w:r>
      <w:r>
        <w:rPr>
          <w:color w:val="131313"/>
          <w:spacing w:val="40"/>
        </w:rPr>
        <w:t> </w:t>
      </w:r>
      <w:r>
        <w:rPr>
          <w:color w:val="131313"/>
        </w:rPr>
        <w:t>of</w:t>
      </w:r>
      <w:r>
        <w:rPr>
          <w:color w:val="131313"/>
          <w:spacing w:val="40"/>
        </w:rPr>
        <w:t> </w:t>
      </w:r>
      <w:r>
        <w:rPr>
          <w:color w:val="131313"/>
        </w:rPr>
        <w:t>Bangladesh</w:t>
      </w:r>
      <w:r>
        <w:rPr>
          <w:color w:val="3B3838"/>
        </w:rPr>
        <w:t>, </w:t>
      </w:r>
      <w:r>
        <w:rPr>
          <w:color w:val="131313"/>
        </w:rPr>
        <w:t>considering</w:t>
      </w:r>
      <w:r>
        <w:rPr>
          <w:color w:val="131313"/>
          <w:spacing w:val="40"/>
        </w:rPr>
        <w:t> </w:t>
      </w:r>
      <w:r>
        <w:rPr>
          <w:color w:val="131313"/>
        </w:rPr>
        <w:t>the</w:t>
      </w:r>
      <w:r>
        <w:rPr>
          <w:color w:val="131313"/>
          <w:spacing w:val="40"/>
        </w:rPr>
        <w:t> </w:t>
      </w:r>
      <w:r>
        <w:rPr>
          <w:color w:val="131313"/>
        </w:rPr>
        <w:t>mediating</w:t>
      </w:r>
      <w:r>
        <w:rPr>
          <w:color w:val="131313"/>
          <w:spacing w:val="40"/>
        </w:rPr>
        <w:t> </w:t>
      </w:r>
      <w:r>
        <w:rPr>
          <w:color w:val="131313"/>
        </w:rPr>
        <w:t>influence</w:t>
      </w:r>
      <w:r>
        <w:rPr>
          <w:color w:val="131313"/>
          <w:spacing w:val="40"/>
        </w:rPr>
        <w:t> </w:t>
      </w:r>
      <w:r>
        <w:rPr>
          <w:color w:val="131313"/>
        </w:rPr>
        <w:t>of training motivation. Although the direct effect size of TM on EP is small due to its low correlation</w:t>
      </w:r>
      <w:r>
        <w:rPr>
          <w:color w:val="131313"/>
          <w:spacing w:val="40"/>
        </w:rPr>
        <w:t> </w:t>
      </w:r>
      <w:r>
        <w:rPr>
          <w:color w:val="131313"/>
        </w:rPr>
        <w:t>(0.013), its mediating role amplifies the effect of T&amp;D on </w:t>
      </w:r>
      <w:r>
        <w:rPr>
          <w:color w:val="262828"/>
        </w:rPr>
        <w:t>EP, </w:t>
      </w:r>
      <w:r>
        <w:rPr>
          <w:color w:val="131313"/>
        </w:rPr>
        <w:t>contributing to a more comprehensive understanding of the mechanisms driving employee productivity in </w:t>
      </w:r>
      <w:r>
        <w:rPr>
          <w:color w:val="030303"/>
        </w:rPr>
        <w:t>this </w:t>
      </w:r>
      <w:r>
        <w:rPr>
          <w:color w:val="131313"/>
          <w:spacing w:val="-2"/>
        </w:rPr>
        <w:t>industry.</w:t>
      </w:r>
    </w:p>
    <w:p>
      <w:pPr>
        <w:pStyle w:val="ListParagraph"/>
        <w:numPr>
          <w:ilvl w:val="2"/>
          <w:numId w:val="1"/>
        </w:numPr>
        <w:tabs>
          <w:tab w:pos="792" w:val="left" w:leader="none"/>
        </w:tabs>
        <w:spacing w:line="240" w:lineRule="auto" w:before="1" w:after="0"/>
        <w:ind w:left="792" w:right="0" w:hanging="476"/>
        <w:jc w:val="left"/>
        <w:rPr>
          <w:i/>
          <w:color w:val="131313"/>
          <w:sz w:val="20"/>
        </w:rPr>
      </w:pPr>
      <w:r>
        <w:rPr>
          <w:i/>
          <w:color w:val="131313"/>
          <w:w w:val="105"/>
          <w:sz w:val="20"/>
        </w:rPr>
        <w:t>Predictive</w:t>
      </w:r>
      <w:r>
        <w:rPr>
          <w:i/>
          <w:color w:val="131313"/>
          <w:spacing w:val="3"/>
          <w:w w:val="105"/>
          <w:sz w:val="20"/>
        </w:rPr>
        <w:t> </w:t>
      </w:r>
      <w:r>
        <w:rPr>
          <w:i/>
          <w:color w:val="131313"/>
          <w:w w:val="105"/>
          <w:sz w:val="20"/>
        </w:rPr>
        <w:t>Relevance</w:t>
      </w:r>
      <w:r>
        <w:rPr>
          <w:i/>
          <w:color w:val="131313"/>
          <w:spacing w:val="-1"/>
          <w:w w:val="105"/>
          <w:sz w:val="20"/>
        </w:rPr>
        <w:t> </w:t>
      </w:r>
      <w:r>
        <w:rPr>
          <w:i/>
          <w:color w:val="131313"/>
          <w:spacing w:val="-4"/>
          <w:w w:val="105"/>
          <w:sz w:val="20"/>
        </w:rPr>
        <w:t>(Q</w:t>
      </w:r>
      <w:r>
        <w:rPr>
          <w:i/>
          <w:color w:val="131313"/>
          <w:spacing w:val="-4"/>
          <w:w w:val="105"/>
          <w:position w:val="7"/>
          <w:sz w:val="20"/>
        </w:rPr>
        <w:t>2</w:t>
      </w:r>
      <w:r>
        <w:rPr>
          <w:i/>
          <w:color w:val="131313"/>
          <w:spacing w:val="-4"/>
          <w:w w:val="105"/>
          <w:sz w:val="20"/>
        </w:rPr>
        <w:t>):</w:t>
      </w:r>
    </w:p>
    <w:p>
      <w:pPr>
        <w:pStyle w:val="BodyText"/>
        <w:spacing w:line="228" w:lineRule="exact" w:before="121"/>
        <w:ind w:left="318" w:hanging="4"/>
        <w:jc w:val="both"/>
      </w:pPr>
      <w:r>
        <w:rPr>
          <w:color w:val="131313"/>
        </w:rPr>
        <w:t>In</w:t>
      </w:r>
      <w:r>
        <w:rPr>
          <w:color w:val="131313"/>
          <w:spacing w:val="4"/>
        </w:rPr>
        <w:t> </w:t>
      </w:r>
      <w:r>
        <w:rPr>
          <w:color w:val="131313"/>
        </w:rPr>
        <w:t>research</w:t>
      </w:r>
      <w:r>
        <w:rPr>
          <w:color w:val="131313"/>
          <w:spacing w:val="9"/>
        </w:rPr>
        <w:t> </w:t>
      </w:r>
      <w:r>
        <w:rPr>
          <w:color w:val="131313"/>
        </w:rPr>
        <w:t>exploring</w:t>
      </w:r>
      <w:r>
        <w:rPr>
          <w:color w:val="131313"/>
          <w:spacing w:val="10"/>
        </w:rPr>
        <w:t> </w:t>
      </w:r>
      <w:r>
        <w:rPr>
          <w:color w:val="131313"/>
        </w:rPr>
        <w:t>the</w:t>
      </w:r>
      <w:r>
        <w:rPr>
          <w:color w:val="131313"/>
          <w:spacing w:val="3"/>
        </w:rPr>
        <w:t> </w:t>
      </w:r>
      <w:r>
        <w:rPr>
          <w:color w:val="131313"/>
        </w:rPr>
        <w:t>impact</w:t>
      </w:r>
      <w:r>
        <w:rPr>
          <w:color w:val="131313"/>
          <w:spacing w:val="2"/>
        </w:rPr>
        <w:t> </w:t>
      </w:r>
      <w:r>
        <w:rPr>
          <w:color w:val="131313"/>
        </w:rPr>
        <w:t>of</w:t>
      </w:r>
      <w:r>
        <w:rPr>
          <w:color w:val="131313"/>
          <w:spacing w:val="-2"/>
        </w:rPr>
        <w:t> </w:t>
      </w:r>
      <w:r>
        <w:rPr>
          <w:color w:val="131313"/>
        </w:rPr>
        <w:t>training</w:t>
      </w:r>
      <w:r>
        <w:rPr>
          <w:color w:val="131313"/>
          <w:spacing w:val="11"/>
        </w:rPr>
        <w:t> </w:t>
      </w:r>
      <w:r>
        <w:rPr>
          <w:color w:val="131313"/>
        </w:rPr>
        <w:t>&amp;</w:t>
      </w:r>
      <w:r>
        <w:rPr>
          <w:color w:val="131313"/>
          <w:spacing w:val="-3"/>
        </w:rPr>
        <w:t> </w:t>
      </w:r>
      <w:r>
        <w:rPr>
          <w:color w:val="131313"/>
        </w:rPr>
        <w:t>development</w:t>
      </w:r>
      <w:r>
        <w:rPr>
          <w:color w:val="131313"/>
          <w:spacing w:val="8"/>
        </w:rPr>
        <w:t> </w:t>
      </w:r>
      <w:r>
        <w:rPr>
          <w:color w:val="131313"/>
        </w:rPr>
        <w:t>(T&amp;D)</w:t>
      </w:r>
      <w:r>
        <w:rPr>
          <w:color w:val="131313"/>
          <w:spacing w:val="1"/>
        </w:rPr>
        <w:t> </w:t>
      </w:r>
      <w:r>
        <w:rPr>
          <w:color w:val="131313"/>
        </w:rPr>
        <w:t>on</w:t>
      </w:r>
      <w:r>
        <w:rPr>
          <w:color w:val="131313"/>
          <w:spacing w:val="-1"/>
        </w:rPr>
        <w:t> </w:t>
      </w:r>
      <w:r>
        <w:rPr>
          <w:color w:val="131313"/>
        </w:rPr>
        <w:t>employee</w:t>
      </w:r>
      <w:r>
        <w:rPr>
          <w:color w:val="131313"/>
          <w:spacing w:val="7"/>
        </w:rPr>
        <w:t> </w:t>
      </w:r>
      <w:r>
        <w:rPr>
          <w:color w:val="131313"/>
          <w:spacing w:val="-2"/>
        </w:rPr>
        <w:t>productivity</w:t>
      </w:r>
      <w:r>
        <w:rPr>
          <w:color w:val="3B3838"/>
          <w:spacing w:val="-2"/>
        </w:rPr>
        <w:t>,</w:t>
      </w:r>
    </w:p>
    <w:p>
      <w:pPr>
        <w:pStyle w:val="BodyText"/>
        <w:spacing w:line="278" w:lineRule="exact" w:before="30"/>
        <w:ind w:left="317" w:right="317"/>
        <w:jc w:val="both"/>
      </w:pPr>
      <w:r>
        <w:rPr>
          <w:color w:val="131313"/>
        </w:rPr>
        <w:t>with training motivation playing a mediating role, predictive relevance (Q</w:t>
      </w:r>
      <w:r>
        <w:rPr>
          <w:color w:val="131313"/>
          <w:position w:val="7"/>
        </w:rPr>
        <w:t>2</w:t>
      </w:r>
      <w:r>
        <w:rPr>
          <w:color w:val="131313"/>
        </w:rPr>
        <w:t>) assesses the model's</w:t>
      </w:r>
      <w:r>
        <w:rPr>
          <w:color w:val="131313"/>
          <w:spacing w:val="13"/>
        </w:rPr>
        <w:t> </w:t>
      </w:r>
      <w:r>
        <w:rPr>
          <w:color w:val="131313"/>
        </w:rPr>
        <w:t>ability</w:t>
      </w:r>
      <w:r>
        <w:rPr>
          <w:color w:val="131313"/>
          <w:spacing w:val="10"/>
        </w:rPr>
        <w:t> </w:t>
      </w:r>
      <w:r>
        <w:rPr>
          <w:color w:val="131313"/>
        </w:rPr>
        <w:t>to</w:t>
      </w:r>
      <w:r>
        <w:rPr>
          <w:color w:val="131313"/>
          <w:spacing w:val="5"/>
        </w:rPr>
        <w:t> </w:t>
      </w:r>
      <w:r>
        <w:rPr>
          <w:color w:val="131313"/>
        </w:rPr>
        <w:t>predict</w:t>
      </w:r>
      <w:r>
        <w:rPr>
          <w:color w:val="131313"/>
          <w:spacing w:val="14"/>
        </w:rPr>
        <w:t> </w:t>
      </w:r>
      <w:r>
        <w:rPr>
          <w:color w:val="131313"/>
        </w:rPr>
        <w:t>employee</w:t>
      </w:r>
      <w:r>
        <w:rPr>
          <w:color w:val="131313"/>
          <w:spacing w:val="13"/>
        </w:rPr>
        <w:t> </w:t>
      </w:r>
      <w:r>
        <w:rPr>
          <w:color w:val="131313"/>
        </w:rPr>
        <w:t>productivity.</w:t>
      </w:r>
      <w:r>
        <w:rPr>
          <w:color w:val="131313"/>
          <w:spacing w:val="27"/>
        </w:rPr>
        <w:t> </w:t>
      </w:r>
      <w:r>
        <w:rPr>
          <w:color w:val="131313"/>
        </w:rPr>
        <w:t>A</w:t>
      </w:r>
      <w:r>
        <w:rPr>
          <w:color w:val="131313"/>
          <w:spacing w:val="4"/>
        </w:rPr>
        <w:t> </w:t>
      </w:r>
      <w:r>
        <w:rPr>
          <w:color w:val="131313"/>
        </w:rPr>
        <w:t>high</w:t>
      </w:r>
      <w:r>
        <w:rPr>
          <w:color w:val="131313"/>
          <w:spacing w:val="9"/>
        </w:rPr>
        <w:t> </w:t>
      </w:r>
      <w:r>
        <w:rPr>
          <w:color w:val="131313"/>
        </w:rPr>
        <w:t>Q</w:t>
      </w:r>
      <w:r>
        <w:rPr>
          <w:color w:val="131313"/>
          <w:position w:val="7"/>
          <w:sz w:val="11"/>
        </w:rPr>
        <w:t>2</w:t>
      </w:r>
      <w:r>
        <w:rPr>
          <w:color w:val="131313"/>
          <w:spacing w:val="31"/>
          <w:position w:val="7"/>
          <w:sz w:val="11"/>
        </w:rPr>
        <w:t> </w:t>
      </w:r>
      <w:r>
        <w:rPr>
          <w:color w:val="131313"/>
        </w:rPr>
        <w:t>value</w:t>
      </w:r>
      <w:r>
        <w:rPr>
          <w:color w:val="131313"/>
          <w:spacing w:val="14"/>
        </w:rPr>
        <w:t> </w:t>
      </w:r>
      <w:r>
        <w:rPr>
          <w:color w:val="131313"/>
        </w:rPr>
        <w:t>(often</w:t>
      </w:r>
      <w:r>
        <w:rPr>
          <w:color w:val="131313"/>
          <w:spacing w:val="7"/>
        </w:rPr>
        <w:t> </w:t>
      </w:r>
      <w:r>
        <w:rPr>
          <w:color w:val="131313"/>
        </w:rPr>
        <w:t>exceeding</w:t>
      </w:r>
      <w:r>
        <w:rPr>
          <w:color w:val="131313"/>
          <w:spacing w:val="8"/>
        </w:rPr>
        <w:t> </w:t>
      </w:r>
      <w:r>
        <w:rPr>
          <w:color w:val="131313"/>
        </w:rPr>
        <w:t>0</w:t>
      </w:r>
      <w:r>
        <w:rPr>
          <w:color w:val="3B3838"/>
        </w:rPr>
        <w:t>.</w:t>
      </w:r>
      <w:r>
        <w:rPr>
          <w:color w:val="131313"/>
        </w:rPr>
        <w:t>02</w:t>
      </w:r>
      <w:r>
        <w:rPr>
          <w:color w:val="3B3838"/>
        </w:rPr>
        <w:t>,</w:t>
      </w:r>
      <w:r>
        <w:rPr>
          <w:color w:val="3B3838"/>
          <w:spacing w:val="-6"/>
        </w:rPr>
        <w:t> </w:t>
      </w:r>
      <w:r>
        <w:rPr>
          <w:color w:val="131313"/>
          <w:spacing w:val="-4"/>
        </w:rPr>
        <w:t>with</w:t>
      </w:r>
    </w:p>
    <w:p>
      <w:pPr>
        <w:pStyle w:val="BodyText"/>
        <w:spacing w:line="276" w:lineRule="auto" w:before="32"/>
        <w:ind w:left="317" w:right="323"/>
        <w:jc w:val="both"/>
      </w:pPr>
      <w:r>
        <w:rPr>
          <w:color w:val="131313"/>
        </w:rPr>
        <w:t>thresholds varying depending on the software [Hair, Risher, Rubio, &amp; Sarstedt, 2019]) indicates</w:t>
      </w:r>
      <w:r>
        <w:rPr>
          <w:color w:val="131313"/>
          <w:spacing w:val="40"/>
        </w:rPr>
        <w:t> </w:t>
      </w:r>
      <w:r>
        <w:rPr>
          <w:color w:val="131313"/>
        </w:rPr>
        <w:t>that the model effectively predicts employee</w:t>
      </w:r>
      <w:r>
        <w:rPr>
          <w:color w:val="131313"/>
          <w:spacing w:val="40"/>
        </w:rPr>
        <w:t> </w:t>
      </w:r>
      <w:r>
        <w:rPr>
          <w:color w:val="131313"/>
        </w:rPr>
        <w:t>productivity</w:t>
      </w:r>
      <w:r>
        <w:rPr>
          <w:color w:val="131313"/>
          <w:spacing w:val="40"/>
        </w:rPr>
        <w:t> </w:t>
      </w:r>
      <w:r>
        <w:rPr>
          <w:color w:val="131313"/>
        </w:rPr>
        <w:t>based</w:t>
      </w:r>
      <w:r>
        <w:rPr>
          <w:color w:val="131313"/>
          <w:spacing w:val="40"/>
        </w:rPr>
        <w:t> </w:t>
      </w:r>
      <w:r>
        <w:rPr>
          <w:color w:val="131313"/>
        </w:rPr>
        <w:t>on T&amp;D and training motivation.</w:t>
      </w:r>
    </w:p>
    <w:p>
      <w:pPr>
        <w:spacing w:before="104"/>
        <w:ind w:left="796" w:right="828" w:firstLine="0"/>
        <w:jc w:val="center"/>
        <w:rPr>
          <w:sz w:val="11"/>
        </w:rPr>
      </w:pPr>
      <w:r>
        <w:rPr>
          <w:b/>
          <w:color w:val="131313"/>
          <w:sz w:val="21"/>
        </w:rPr>
        <w:t>Table</w:t>
      </w:r>
      <w:r>
        <w:rPr>
          <w:b/>
          <w:color w:val="131313"/>
          <w:spacing w:val="4"/>
          <w:sz w:val="21"/>
        </w:rPr>
        <w:t> </w:t>
      </w:r>
      <w:r>
        <w:rPr>
          <w:b/>
          <w:color w:val="131313"/>
          <w:sz w:val="21"/>
        </w:rPr>
        <w:t>6:</w:t>
      </w:r>
      <w:r>
        <w:rPr>
          <w:b/>
          <w:color w:val="131313"/>
          <w:spacing w:val="-10"/>
          <w:sz w:val="21"/>
        </w:rPr>
        <w:t> </w:t>
      </w:r>
      <w:r>
        <w:rPr>
          <w:color w:val="131313"/>
          <w:sz w:val="21"/>
        </w:rPr>
        <w:t>Result</w:t>
      </w:r>
      <w:r>
        <w:rPr>
          <w:color w:val="131313"/>
          <w:spacing w:val="-4"/>
          <w:sz w:val="21"/>
        </w:rPr>
        <w:t> </w:t>
      </w:r>
      <w:r>
        <w:rPr>
          <w:color w:val="131313"/>
          <w:sz w:val="21"/>
        </w:rPr>
        <w:t>of</w:t>
      </w:r>
      <w:r>
        <w:rPr>
          <w:color w:val="131313"/>
          <w:spacing w:val="3"/>
          <w:sz w:val="21"/>
        </w:rPr>
        <w:t> </w:t>
      </w:r>
      <w:r>
        <w:rPr>
          <w:color w:val="131313"/>
          <w:sz w:val="21"/>
        </w:rPr>
        <w:t>Predictive</w:t>
      </w:r>
      <w:r>
        <w:rPr>
          <w:color w:val="131313"/>
          <w:spacing w:val="17"/>
          <w:sz w:val="21"/>
        </w:rPr>
        <w:t> </w:t>
      </w:r>
      <w:r>
        <w:rPr>
          <w:color w:val="131313"/>
          <w:sz w:val="21"/>
        </w:rPr>
        <w:t>Relevance</w:t>
      </w:r>
      <w:r>
        <w:rPr>
          <w:color w:val="131313"/>
          <w:spacing w:val="10"/>
          <w:sz w:val="21"/>
        </w:rPr>
        <w:t> </w:t>
      </w:r>
      <w:r>
        <w:rPr>
          <w:color w:val="131313"/>
          <w:spacing w:val="-4"/>
          <w:sz w:val="21"/>
        </w:rPr>
        <w:t>(Q</w:t>
      </w:r>
      <w:r>
        <w:rPr>
          <w:color w:val="131313"/>
          <w:spacing w:val="-4"/>
          <w:position w:val="7"/>
          <w:sz w:val="11"/>
        </w:rPr>
        <w:t>2</w:t>
      </w:r>
      <w:r>
        <w:rPr>
          <w:color w:val="131313"/>
          <w:spacing w:val="-4"/>
          <w:sz w:val="11"/>
        </w:rPr>
        <w:t>)</w:t>
      </w:r>
    </w:p>
    <w:p>
      <w:pPr>
        <w:pStyle w:val="BodyText"/>
        <w:spacing w:before="6"/>
        <w:rPr>
          <w:sz w:val="12"/>
        </w:rPr>
      </w:pPr>
      <w:r>
        <w:rPr>
          <w:sz w:val="12"/>
        </w:rPr>
        <mc:AlternateContent>
          <mc:Choice Requires="wps">
            <w:drawing>
              <wp:anchor distT="0" distB="0" distL="0" distR="0" allowOverlap="1" layoutInCell="1" locked="0" behindDoc="1" simplePos="0" relativeHeight="487600128">
                <wp:simplePos x="0" y="0"/>
                <wp:positionH relativeFrom="page">
                  <wp:posOffset>1227302</wp:posOffset>
                </wp:positionH>
                <wp:positionV relativeFrom="paragraph">
                  <wp:posOffset>106982</wp:posOffset>
                </wp:positionV>
                <wp:extent cx="4848225" cy="11430"/>
                <wp:effectExtent l="0" t="0" r="0" b="0"/>
                <wp:wrapTopAndBottom/>
                <wp:docPr id="49" name="Graphic 49"/>
                <wp:cNvGraphicFramePr>
                  <a:graphicFrameLocks/>
                </wp:cNvGraphicFramePr>
                <a:graphic>
                  <a:graphicData uri="http://schemas.microsoft.com/office/word/2010/wordprocessingShape">
                    <wps:wsp>
                      <wps:cNvPr id="49" name="Graphic 49"/>
                      <wps:cNvSpPr/>
                      <wps:spPr>
                        <a:xfrm>
                          <a:off x="0" y="0"/>
                          <a:ext cx="4848225" cy="11430"/>
                        </a:xfrm>
                        <a:custGeom>
                          <a:avLst/>
                          <a:gdLst/>
                          <a:ahLst/>
                          <a:cxnLst/>
                          <a:rect l="l" t="t" r="r" b="b"/>
                          <a:pathLst>
                            <a:path w="4848225" h="11430">
                              <a:moveTo>
                                <a:pt x="4847996" y="0"/>
                              </a:moveTo>
                              <a:lnTo>
                                <a:pt x="3543427" y="0"/>
                              </a:lnTo>
                              <a:lnTo>
                                <a:pt x="0" y="0"/>
                              </a:lnTo>
                              <a:lnTo>
                                <a:pt x="0" y="10934"/>
                              </a:lnTo>
                              <a:lnTo>
                                <a:pt x="3543427" y="10934"/>
                              </a:lnTo>
                              <a:lnTo>
                                <a:pt x="4847996" y="10934"/>
                              </a:lnTo>
                              <a:lnTo>
                                <a:pt x="4847996" y="0"/>
                              </a:lnTo>
                              <a:close/>
                            </a:path>
                          </a:pathLst>
                        </a:custGeom>
                        <a:solidFill>
                          <a:srgbClr val="7B5DA0"/>
                        </a:solidFill>
                      </wps:spPr>
                      <wps:bodyPr wrap="square" lIns="0" tIns="0" rIns="0" bIns="0" rtlCol="0">
                        <a:prstTxWarp prst="textNoShape">
                          <a:avLst/>
                        </a:prstTxWarp>
                        <a:noAutofit/>
                      </wps:bodyPr>
                    </wps:wsp>
                  </a:graphicData>
                </a:graphic>
              </wp:anchor>
            </w:drawing>
          </mc:Choice>
          <mc:Fallback>
            <w:pict>
              <v:shape style="position:absolute;margin-left:96.638008pt;margin-top:8.423783pt;width:381.75pt;height:.9pt;mso-position-horizontal-relative:page;mso-position-vertical-relative:paragraph;z-index:-15716352;mso-wrap-distance-left:0;mso-wrap-distance-right:0" id="docshape47" coordorigin="1933,168" coordsize="7635,18" path="m9567,168l7513,168,1933,168,1933,186,7513,186,9567,186,9567,168xe" filled="true" fillcolor="#7b5da0" stroked="false">
                <v:path arrowok="t"/>
                <v:fill type="solid"/>
                <w10:wrap type="topAndBottom"/>
              </v:shape>
            </w:pict>
          </mc:Fallback>
        </mc:AlternateContent>
      </w:r>
    </w:p>
    <w:p>
      <w:pPr>
        <w:tabs>
          <w:tab w:pos="5170" w:val="left" w:leader="none"/>
          <w:tab w:pos="6394" w:val="left" w:leader="none"/>
        </w:tabs>
        <w:spacing w:line="251" w:lineRule="exact" w:before="0"/>
        <w:ind w:left="3799" w:right="0" w:firstLine="0"/>
        <w:jc w:val="left"/>
        <w:rPr>
          <w:b/>
          <w:sz w:val="20"/>
        </w:rPr>
      </w:pPr>
      <w:r>
        <w:rPr>
          <w:b/>
          <w:color w:val="030303"/>
          <w:spacing w:val="-5"/>
          <w:sz w:val="27"/>
        </w:rPr>
        <w:t>sso</w:t>
      </w:r>
      <w:r>
        <w:rPr>
          <w:b/>
          <w:color w:val="030303"/>
          <w:sz w:val="27"/>
        </w:rPr>
        <w:tab/>
      </w:r>
      <w:r>
        <w:rPr>
          <w:b/>
          <w:color w:val="030303"/>
          <w:spacing w:val="-5"/>
          <w:sz w:val="20"/>
        </w:rPr>
        <w:t>SSE</w:t>
      </w:r>
      <w:r>
        <w:rPr>
          <w:b/>
          <w:color w:val="030303"/>
          <w:sz w:val="20"/>
        </w:rPr>
        <w:tab/>
      </w:r>
      <w:r>
        <w:rPr>
          <w:rFonts w:ascii="Arial"/>
          <w:b/>
          <w:color w:val="030303"/>
          <w:sz w:val="17"/>
        </w:rPr>
        <w:t>Q</w:t>
      </w:r>
      <w:r>
        <w:rPr>
          <w:rFonts w:ascii="Arial"/>
          <w:b/>
          <w:color w:val="030303"/>
          <w:sz w:val="17"/>
          <w:vertAlign w:val="superscript"/>
        </w:rPr>
        <w:t>2</w:t>
      </w:r>
      <w:r>
        <w:rPr>
          <w:rFonts w:ascii="Arial"/>
          <w:b/>
          <w:color w:val="030303"/>
          <w:spacing w:val="2"/>
          <w:sz w:val="17"/>
          <w:vertAlign w:val="baseline"/>
        </w:rPr>
        <w:t> </w:t>
      </w:r>
      <w:r>
        <w:rPr>
          <w:b/>
          <w:color w:val="030303"/>
          <w:sz w:val="20"/>
          <w:vertAlign w:val="baseline"/>
        </w:rPr>
        <w:t>(=1-</w:t>
      </w:r>
      <w:r>
        <w:rPr>
          <w:b/>
          <w:color w:val="030303"/>
          <w:spacing w:val="-2"/>
          <w:sz w:val="20"/>
          <w:vertAlign w:val="baseline"/>
        </w:rPr>
        <w:t>SSE/SSO)</w:t>
      </w:r>
    </w:p>
    <w:p>
      <w:pPr>
        <w:tabs>
          <w:tab w:pos="3355" w:val="left" w:leader="none"/>
        </w:tabs>
        <w:spacing w:line="501" w:lineRule="exact" w:before="0"/>
        <w:ind w:left="599" w:right="0" w:firstLine="0"/>
        <w:jc w:val="left"/>
        <w:rPr>
          <w:sz w:val="20"/>
        </w:rPr>
      </w:pPr>
      <w:r>
        <w:rPr>
          <w:sz w:val="20"/>
        </w:rPr>
        <mc:AlternateContent>
          <mc:Choice Requires="wps">
            <w:drawing>
              <wp:anchor distT="0" distB="0" distL="0" distR="0" allowOverlap="1" layoutInCell="1" locked="0" behindDoc="1" simplePos="0" relativeHeight="487084544">
                <wp:simplePos x="0" y="0"/>
                <wp:positionH relativeFrom="page">
                  <wp:posOffset>1225745</wp:posOffset>
                </wp:positionH>
                <wp:positionV relativeFrom="paragraph">
                  <wp:posOffset>55552</wp:posOffset>
                </wp:positionV>
                <wp:extent cx="4850130" cy="227329"/>
                <wp:effectExtent l="0" t="0" r="0" b="0"/>
                <wp:wrapNone/>
                <wp:docPr id="50" name="Group 50"/>
                <wp:cNvGraphicFramePr>
                  <a:graphicFrameLocks/>
                </wp:cNvGraphicFramePr>
                <a:graphic>
                  <a:graphicData uri="http://schemas.microsoft.com/office/word/2010/wordprocessingGroup">
                    <wpg:wgp>
                      <wpg:cNvPr id="50" name="Group 50"/>
                      <wpg:cNvGrpSpPr/>
                      <wpg:grpSpPr>
                        <a:xfrm>
                          <a:off x="0" y="0"/>
                          <a:ext cx="4850130" cy="227329"/>
                          <a:chExt cx="4850130" cy="227329"/>
                        </a:xfrm>
                      </wpg:grpSpPr>
                      <wps:wsp>
                        <wps:cNvPr id="51" name="Graphic 51"/>
                        <wps:cNvSpPr/>
                        <wps:spPr>
                          <a:xfrm>
                            <a:off x="-5" y="10937"/>
                            <a:ext cx="2527935" cy="216535"/>
                          </a:xfrm>
                          <a:custGeom>
                            <a:avLst/>
                            <a:gdLst/>
                            <a:ahLst/>
                            <a:cxnLst/>
                            <a:rect l="l" t="t" r="r" b="b"/>
                            <a:pathLst>
                              <a:path w="2527935" h="216535">
                                <a:moveTo>
                                  <a:pt x="1821713" y="241"/>
                                </a:moveTo>
                                <a:lnTo>
                                  <a:pt x="1756092" y="241"/>
                                </a:lnTo>
                                <a:lnTo>
                                  <a:pt x="1756092" y="204673"/>
                                </a:lnTo>
                                <a:lnTo>
                                  <a:pt x="67183" y="204711"/>
                                </a:lnTo>
                                <a:lnTo>
                                  <a:pt x="1756092" y="204673"/>
                                </a:lnTo>
                                <a:lnTo>
                                  <a:pt x="1756092" y="241"/>
                                </a:lnTo>
                                <a:lnTo>
                                  <a:pt x="1756092" y="0"/>
                                </a:lnTo>
                                <a:lnTo>
                                  <a:pt x="67183" y="0"/>
                                </a:lnTo>
                                <a:lnTo>
                                  <a:pt x="67183" y="241"/>
                                </a:lnTo>
                                <a:lnTo>
                                  <a:pt x="0" y="241"/>
                                </a:lnTo>
                                <a:lnTo>
                                  <a:pt x="0" y="204711"/>
                                </a:lnTo>
                                <a:lnTo>
                                  <a:pt x="0" y="216141"/>
                                </a:lnTo>
                                <a:lnTo>
                                  <a:pt x="1821713" y="216141"/>
                                </a:lnTo>
                                <a:lnTo>
                                  <a:pt x="1821713" y="204711"/>
                                </a:lnTo>
                                <a:lnTo>
                                  <a:pt x="1821713" y="241"/>
                                </a:lnTo>
                                <a:close/>
                              </a:path>
                              <a:path w="2527935" h="216535">
                                <a:moveTo>
                                  <a:pt x="2527897" y="0"/>
                                </a:moveTo>
                                <a:lnTo>
                                  <a:pt x="1888896" y="0"/>
                                </a:lnTo>
                                <a:lnTo>
                                  <a:pt x="1888896" y="215607"/>
                                </a:lnTo>
                                <a:lnTo>
                                  <a:pt x="2527897" y="215607"/>
                                </a:lnTo>
                                <a:lnTo>
                                  <a:pt x="2527897" y="0"/>
                                </a:lnTo>
                                <a:close/>
                              </a:path>
                            </a:pathLst>
                          </a:custGeom>
                          <a:solidFill>
                            <a:srgbClr val="DFD8E8"/>
                          </a:solidFill>
                        </wps:spPr>
                        <wps:bodyPr wrap="square" lIns="0" tIns="0" rIns="0" bIns="0" rtlCol="0">
                          <a:prstTxWarp prst="textNoShape">
                            <a:avLst/>
                          </a:prstTxWarp>
                          <a:noAutofit/>
                        </wps:bodyPr>
                      </wps:wsp>
                      <wps:wsp>
                        <wps:cNvPr id="52" name="Graphic 52"/>
                        <wps:cNvSpPr/>
                        <wps:spPr>
                          <a:xfrm>
                            <a:off x="1557" y="2"/>
                            <a:ext cx="4848225" cy="11430"/>
                          </a:xfrm>
                          <a:custGeom>
                            <a:avLst/>
                            <a:gdLst/>
                            <a:ahLst/>
                            <a:cxnLst/>
                            <a:rect l="l" t="t" r="r" b="b"/>
                            <a:pathLst>
                              <a:path w="4848225" h="11430">
                                <a:moveTo>
                                  <a:pt x="4847996" y="0"/>
                                </a:moveTo>
                                <a:lnTo>
                                  <a:pt x="3543427" y="0"/>
                                </a:lnTo>
                                <a:lnTo>
                                  <a:pt x="0" y="0"/>
                                </a:lnTo>
                                <a:lnTo>
                                  <a:pt x="0" y="10934"/>
                                </a:lnTo>
                                <a:lnTo>
                                  <a:pt x="3543427" y="10934"/>
                                </a:lnTo>
                                <a:lnTo>
                                  <a:pt x="4847996" y="10934"/>
                                </a:lnTo>
                                <a:lnTo>
                                  <a:pt x="4847996" y="0"/>
                                </a:lnTo>
                                <a:close/>
                              </a:path>
                            </a:pathLst>
                          </a:custGeom>
                          <a:solidFill>
                            <a:srgbClr val="7B5DA0"/>
                          </a:solidFill>
                        </wps:spPr>
                        <wps:bodyPr wrap="square" lIns="0" tIns="0" rIns="0" bIns="0" rtlCol="0">
                          <a:prstTxWarp prst="textNoShape">
                            <a:avLst/>
                          </a:prstTxWarp>
                          <a:noAutofit/>
                        </wps:bodyPr>
                      </wps:wsp>
                    </wpg:wgp>
                  </a:graphicData>
                </a:graphic>
              </wp:anchor>
            </w:drawing>
          </mc:Choice>
          <mc:Fallback>
            <w:pict>
              <v:group style="position:absolute;margin-left:96.515404pt;margin-top:4.374190pt;width:381.9pt;height:17.9pt;mso-position-horizontal-relative:page;mso-position-vertical-relative:paragraph;z-index:-16231936" id="docshapegroup48" coordorigin="1930,87" coordsize="7638,358">
                <v:shape style="position:absolute;left:1930;top:104;width:3981;height:341" id="docshape49" coordorigin="1930,105" coordsize="3981,341" path="m4799,105l4696,105,4696,427,4696,427,2036,427,2036,427,4696,427,4696,105,4696,105,2036,105,2036,105,1930,105,1930,427,1930,445,4799,445,4799,427,4799,105xm5911,105l4905,105,4905,444,5911,444,5911,105xe" filled="true" fillcolor="#dfd8e8" stroked="false">
                  <v:path arrowok="t"/>
                  <v:fill type="solid"/>
                </v:shape>
                <v:shape style="position:absolute;left:1932;top:87;width:7635;height:18" id="docshape50" coordorigin="1933,87" coordsize="7635,18" path="m9567,87l7513,87,1933,87,1933,105,7513,105,9567,105,9567,87xe" filled="true" fillcolor="#7b5da0" stroked="false">
                  <v:path arrowok="t"/>
                  <v:fill type="solid"/>
                </v:shape>
                <w10:wrap type="none"/>
              </v:group>
            </w:pict>
          </mc:Fallback>
        </mc:AlternateContent>
      </w:r>
      <w:r>
        <w:rPr>
          <w:sz w:val="20"/>
        </w:rPr>
        <mc:AlternateContent>
          <mc:Choice Requires="wps">
            <w:drawing>
              <wp:anchor distT="0" distB="0" distL="0" distR="0" allowOverlap="1" layoutInCell="1" locked="0" behindDoc="0" simplePos="0" relativeHeight="15744000">
                <wp:simplePos x="0" y="0"/>
                <wp:positionH relativeFrom="page">
                  <wp:posOffset>4823860</wp:posOffset>
                </wp:positionH>
                <wp:positionV relativeFrom="paragraph">
                  <wp:posOffset>66489</wp:posOffset>
                </wp:positionV>
                <wp:extent cx="1184275" cy="215900"/>
                <wp:effectExtent l="0" t="0" r="0" b="0"/>
                <wp:wrapNone/>
                <wp:docPr id="53" name="Textbox 53"/>
                <wp:cNvGraphicFramePr>
                  <a:graphicFrameLocks/>
                </wp:cNvGraphicFramePr>
                <a:graphic>
                  <a:graphicData uri="http://schemas.microsoft.com/office/word/2010/wordprocessingShape">
                    <wps:wsp>
                      <wps:cNvPr id="53" name="Textbox 53"/>
                      <wps:cNvSpPr txBox="1"/>
                      <wps:spPr>
                        <a:xfrm>
                          <a:off x="0" y="0"/>
                          <a:ext cx="1184275" cy="215900"/>
                        </a:xfrm>
                        <a:prstGeom prst="rect">
                          <a:avLst/>
                        </a:prstGeom>
                        <a:solidFill>
                          <a:srgbClr val="DFD8E8"/>
                        </a:solidFill>
                      </wps:spPr>
                      <wps:txbx>
                        <w:txbxContent>
                          <w:p>
                            <w:pPr>
                              <w:spacing w:before="38"/>
                              <w:ind w:left="30" w:right="0" w:firstLine="0"/>
                              <w:jc w:val="center"/>
                              <w:rPr>
                                <w:color w:val="000000"/>
                                <w:sz w:val="20"/>
                              </w:rPr>
                            </w:pPr>
                            <w:r>
                              <w:rPr>
                                <w:color w:val="030303"/>
                                <w:spacing w:val="-2"/>
                                <w:w w:val="110"/>
                                <w:sz w:val="20"/>
                              </w:rPr>
                              <w:t>0.213</w:t>
                            </w:r>
                          </w:p>
                        </w:txbxContent>
                      </wps:txbx>
                      <wps:bodyPr wrap="square" lIns="0" tIns="0" rIns="0" bIns="0" rtlCol="0">
                        <a:noAutofit/>
                      </wps:bodyPr>
                    </wps:wsp>
                  </a:graphicData>
                </a:graphic>
              </wp:anchor>
            </w:drawing>
          </mc:Choice>
          <mc:Fallback>
            <w:pict>
              <v:shape style="position:absolute;margin-left:379.831512pt;margin-top:5.23539pt;width:93.25pt;height:17pt;mso-position-horizontal-relative:page;mso-position-vertical-relative:paragraph;z-index:15744000" type="#_x0000_t202" id="docshape51" filled="true" fillcolor="#dfd8e8" stroked="false">
                <v:textbox inset="0,0,0,0">
                  <w:txbxContent>
                    <w:p>
                      <w:pPr>
                        <w:spacing w:before="38"/>
                        <w:ind w:left="30" w:right="0" w:firstLine="0"/>
                        <w:jc w:val="center"/>
                        <w:rPr>
                          <w:color w:val="000000"/>
                          <w:sz w:val="20"/>
                        </w:rPr>
                      </w:pPr>
                      <w:r>
                        <w:rPr>
                          <w:color w:val="030303"/>
                          <w:spacing w:val="-2"/>
                          <w:w w:val="110"/>
                          <w:sz w:val="20"/>
                        </w:rPr>
                        <w:t>0.213</w:t>
                      </w:r>
                    </w:p>
                  </w:txbxContent>
                </v:textbox>
                <v:fill type="solid"/>
                <w10:wrap type="none"/>
              </v:shape>
            </w:pict>
          </mc:Fallback>
        </mc:AlternateContent>
      </w:r>
      <w:r>
        <w:rPr>
          <w:sz w:val="20"/>
        </w:rPr>
        <mc:AlternateContent>
          <mc:Choice Requires="wps">
            <w:drawing>
              <wp:anchor distT="0" distB="0" distL="0" distR="0" allowOverlap="1" layoutInCell="1" locked="0" behindDoc="0" simplePos="0" relativeHeight="15744512">
                <wp:simplePos x="0" y="0"/>
                <wp:positionH relativeFrom="page">
                  <wp:posOffset>3886444</wp:posOffset>
                </wp:positionH>
                <wp:positionV relativeFrom="paragraph">
                  <wp:posOffset>66489</wp:posOffset>
                </wp:positionV>
                <wp:extent cx="805180" cy="215900"/>
                <wp:effectExtent l="0" t="0" r="0" b="0"/>
                <wp:wrapNone/>
                <wp:docPr id="54" name="Textbox 54"/>
                <wp:cNvGraphicFramePr>
                  <a:graphicFrameLocks/>
                </wp:cNvGraphicFramePr>
                <a:graphic>
                  <a:graphicData uri="http://schemas.microsoft.com/office/word/2010/wordprocessingShape">
                    <wps:wsp>
                      <wps:cNvPr id="54" name="Textbox 54"/>
                      <wps:cNvSpPr txBox="1"/>
                      <wps:spPr>
                        <a:xfrm>
                          <a:off x="0" y="0"/>
                          <a:ext cx="805180" cy="215900"/>
                        </a:xfrm>
                        <a:prstGeom prst="rect">
                          <a:avLst/>
                        </a:prstGeom>
                        <a:solidFill>
                          <a:srgbClr val="DFD8E8"/>
                        </a:solidFill>
                      </wps:spPr>
                      <wps:txbx>
                        <w:txbxContent>
                          <w:p>
                            <w:pPr>
                              <w:spacing w:before="38"/>
                              <w:ind w:left="231" w:right="0" w:firstLine="0"/>
                              <w:jc w:val="left"/>
                              <w:rPr>
                                <w:color w:val="000000"/>
                                <w:sz w:val="20"/>
                              </w:rPr>
                            </w:pPr>
                            <w:r>
                              <w:rPr>
                                <w:color w:val="030303"/>
                                <w:spacing w:val="-2"/>
                                <w:w w:val="110"/>
                                <w:sz w:val="20"/>
                              </w:rPr>
                              <w:t>1574.908</w:t>
                            </w:r>
                          </w:p>
                        </w:txbxContent>
                      </wps:txbx>
                      <wps:bodyPr wrap="square" lIns="0" tIns="0" rIns="0" bIns="0" rtlCol="0">
                        <a:noAutofit/>
                      </wps:bodyPr>
                    </wps:wsp>
                  </a:graphicData>
                </a:graphic>
              </wp:anchor>
            </w:drawing>
          </mc:Choice>
          <mc:Fallback>
            <w:pict>
              <v:shape style="position:absolute;margin-left:306.019287pt;margin-top:5.23539pt;width:63.4pt;height:17pt;mso-position-horizontal-relative:page;mso-position-vertical-relative:paragraph;z-index:15744512" type="#_x0000_t202" id="docshape52" filled="true" fillcolor="#dfd8e8" stroked="false">
                <v:textbox inset="0,0,0,0">
                  <w:txbxContent>
                    <w:p>
                      <w:pPr>
                        <w:spacing w:before="38"/>
                        <w:ind w:left="231" w:right="0" w:firstLine="0"/>
                        <w:jc w:val="left"/>
                        <w:rPr>
                          <w:color w:val="000000"/>
                          <w:sz w:val="20"/>
                        </w:rPr>
                      </w:pPr>
                      <w:r>
                        <w:rPr>
                          <w:color w:val="030303"/>
                          <w:spacing w:val="-2"/>
                          <w:w w:val="110"/>
                          <w:sz w:val="20"/>
                        </w:rPr>
                        <w:t>1574.908</w:t>
                      </w:r>
                    </w:p>
                  </w:txbxContent>
                </v:textbox>
                <v:fill type="solid"/>
                <w10:wrap type="none"/>
              </v:shape>
            </w:pict>
          </mc:Fallback>
        </mc:AlternateContent>
      </w:r>
      <w:r>
        <w:rPr>
          <w:color w:val="131313"/>
          <w:position w:val="1"/>
          <w:sz w:val="21"/>
        </w:rPr>
        <w:t>Employee</w:t>
      </w:r>
      <w:r>
        <w:rPr>
          <w:color w:val="131313"/>
          <w:spacing w:val="8"/>
          <w:position w:val="1"/>
          <w:sz w:val="21"/>
        </w:rPr>
        <w:t> </w:t>
      </w:r>
      <w:r>
        <w:rPr>
          <w:color w:val="131313"/>
          <w:spacing w:val="-2"/>
          <w:position w:val="1"/>
          <w:sz w:val="21"/>
        </w:rPr>
        <w:t>Productivity</w:t>
      </w:r>
      <w:r>
        <w:rPr>
          <w:color w:val="131313"/>
          <w:position w:val="1"/>
          <w:sz w:val="21"/>
        </w:rPr>
        <w:tab/>
      </w:r>
      <w:r>
        <w:rPr>
          <w:color w:val="DFD8E8"/>
          <w:position w:val="-9"/>
          <w:sz w:val="50"/>
        </w:rPr>
        <w:t>I</w:t>
      </w:r>
      <w:r>
        <w:rPr>
          <w:color w:val="DFD8E8"/>
          <w:spacing w:val="57"/>
          <w:w w:val="150"/>
          <w:position w:val="-9"/>
          <w:sz w:val="50"/>
        </w:rPr>
        <w:t> </w:t>
      </w:r>
      <w:r>
        <w:rPr>
          <w:color w:val="030303"/>
          <w:spacing w:val="-4"/>
          <w:sz w:val="20"/>
        </w:rPr>
        <w:t>2000</w:t>
      </w:r>
    </w:p>
    <w:p>
      <w:pPr>
        <w:tabs>
          <w:tab w:pos="3753" w:val="left" w:leader="none"/>
          <w:tab w:pos="5104" w:val="left" w:leader="none"/>
          <w:tab w:pos="6860" w:val="left" w:leader="none"/>
        </w:tabs>
        <w:spacing w:line="213" w:lineRule="exact" w:before="0"/>
        <w:ind w:left="597" w:right="0" w:firstLine="0"/>
        <w:jc w:val="left"/>
        <w:rPr>
          <w:sz w:val="20"/>
        </w:rPr>
      </w:pPr>
      <w:r>
        <w:rPr>
          <w:color w:val="131313"/>
          <w:position w:val="1"/>
          <w:sz w:val="21"/>
        </w:rPr>
        <w:t>Training</w:t>
      </w:r>
      <w:r>
        <w:rPr>
          <w:color w:val="131313"/>
          <w:spacing w:val="10"/>
          <w:position w:val="1"/>
          <w:sz w:val="21"/>
        </w:rPr>
        <w:t> </w:t>
      </w:r>
      <w:r>
        <w:rPr>
          <w:color w:val="131313"/>
          <w:position w:val="1"/>
          <w:sz w:val="21"/>
        </w:rPr>
        <w:t>and</w:t>
      </w:r>
      <w:r>
        <w:rPr>
          <w:color w:val="131313"/>
          <w:spacing w:val="3"/>
          <w:position w:val="1"/>
          <w:sz w:val="21"/>
        </w:rPr>
        <w:t> </w:t>
      </w:r>
      <w:r>
        <w:rPr>
          <w:color w:val="131313"/>
          <w:spacing w:val="-2"/>
          <w:position w:val="1"/>
          <w:sz w:val="21"/>
        </w:rPr>
        <w:t>Development</w:t>
      </w:r>
      <w:r>
        <w:rPr>
          <w:color w:val="131313"/>
          <w:position w:val="1"/>
          <w:sz w:val="21"/>
        </w:rPr>
        <w:tab/>
      </w:r>
      <w:r>
        <w:rPr>
          <w:color w:val="030303"/>
          <w:spacing w:val="-4"/>
          <w:sz w:val="20"/>
        </w:rPr>
        <w:t>1600</w:t>
      </w:r>
      <w:r>
        <w:rPr>
          <w:color w:val="030303"/>
          <w:sz w:val="20"/>
        </w:rPr>
        <w:tab/>
      </w:r>
      <w:r>
        <w:rPr>
          <w:color w:val="030303"/>
          <w:spacing w:val="-4"/>
          <w:sz w:val="20"/>
        </w:rPr>
        <w:t>1600</w:t>
      </w:r>
      <w:r>
        <w:rPr>
          <w:color w:val="030303"/>
          <w:sz w:val="20"/>
        </w:rPr>
        <w:tab/>
      </w:r>
      <w:r>
        <w:rPr>
          <w:color w:val="030303"/>
          <w:spacing w:val="-2"/>
          <w:sz w:val="20"/>
        </w:rPr>
        <w:t>0.000</w:t>
      </w:r>
    </w:p>
    <w:p>
      <w:pPr>
        <w:pStyle w:val="BodyText"/>
        <w:spacing w:before="82"/>
        <w:ind w:left="597"/>
      </w:pPr>
      <w:r>
        <w:rPr/>
        <mc:AlternateContent>
          <mc:Choice Requires="wps">
            <w:drawing>
              <wp:anchor distT="0" distB="0" distL="0" distR="0" allowOverlap="1" layoutInCell="1" locked="0" behindDoc="1" simplePos="0" relativeHeight="487085056">
                <wp:simplePos x="0" y="0"/>
                <wp:positionH relativeFrom="page">
                  <wp:posOffset>1219495</wp:posOffset>
                </wp:positionH>
                <wp:positionV relativeFrom="paragraph">
                  <wp:posOffset>41113</wp:posOffset>
                </wp:positionV>
                <wp:extent cx="4855845" cy="225425"/>
                <wp:effectExtent l="0" t="0" r="0" b="0"/>
                <wp:wrapNone/>
                <wp:docPr id="55" name="Group 55"/>
                <wp:cNvGraphicFramePr>
                  <a:graphicFrameLocks/>
                </wp:cNvGraphicFramePr>
                <a:graphic>
                  <a:graphicData uri="http://schemas.microsoft.com/office/word/2010/wordprocessingGroup">
                    <wpg:wgp>
                      <wpg:cNvPr id="55" name="Group 55"/>
                      <wpg:cNvGrpSpPr/>
                      <wpg:grpSpPr>
                        <a:xfrm>
                          <a:off x="0" y="0"/>
                          <a:ext cx="4855845" cy="225425"/>
                          <a:chExt cx="4855845" cy="225425"/>
                        </a:xfrm>
                      </wpg:grpSpPr>
                      <wps:wsp>
                        <wps:cNvPr id="56" name="Graphic 56"/>
                        <wps:cNvSpPr/>
                        <wps:spPr>
                          <a:xfrm>
                            <a:off x="6244" y="4"/>
                            <a:ext cx="1821814" cy="213995"/>
                          </a:xfrm>
                          <a:custGeom>
                            <a:avLst/>
                            <a:gdLst/>
                            <a:ahLst/>
                            <a:cxnLst/>
                            <a:rect l="l" t="t" r="r" b="b"/>
                            <a:pathLst>
                              <a:path w="1821814" h="213995">
                                <a:moveTo>
                                  <a:pt x="1821713" y="139"/>
                                </a:moveTo>
                                <a:lnTo>
                                  <a:pt x="1756092" y="139"/>
                                </a:lnTo>
                                <a:lnTo>
                                  <a:pt x="1756092" y="0"/>
                                </a:lnTo>
                                <a:lnTo>
                                  <a:pt x="67183" y="0"/>
                                </a:lnTo>
                                <a:lnTo>
                                  <a:pt x="67183" y="139"/>
                                </a:lnTo>
                                <a:lnTo>
                                  <a:pt x="0" y="139"/>
                                </a:lnTo>
                                <a:lnTo>
                                  <a:pt x="0" y="204609"/>
                                </a:lnTo>
                                <a:lnTo>
                                  <a:pt x="0" y="213499"/>
                                </a:lnTo>
                                <a:lnTo>
                                  <a:pt x="1821713" y="213499"/>
                                </a:lnTo>
                                <a:lnTo>
                                  <a:pt x="1821713" y="204609"/>
                                </a:lnTo>
                                <a:lnTo>
                                  <a:pt x="1821713" y="139"/>
                                </a:lnTo>
                                <a:close/>
                              </a:path>
                            </a:pathLst>
                          </a:custGeom>
                          <a:solidFill>
                            <a:srgbClr val="DFD8E8"/>
                          </a:solidFill>
                        </wps:spPr>
                        <wps:bodyPr wrap="square" lIns="0" tIns="0" rIns="0" bIns="0" rtlCol="0">
                          <a:prstTxWarp prst="textNoShape">
                            <a:avLst/>
                          </a:prstTxWarp>
                          <a:noAutofit/>
                        </wps:bodyPr>
                      </wps:wsp>
                      <wps:wsp>
                        <wps:cNvPr id="57" name="Graphic 57"/>
                        <wps:cNvSpPr/>
                        <wps:spPr>
                          <a:xfrm>
                            <a:off x="-3" y="214050"/>
                            <a:ext cx="4855845" cy="11430"/>
                          </a:xfrm>
                          <a:custGeom>
                            <a:avLst/>
                            <a:gdLst/>
                            <a:ahLst/>
                            <a:cxnLst/>
                            <a:rect l="l" t="t" r="r" b="b"/>
                            <a:pathLst>
                              <a:path w="4855845" h="11430">
                                <a:moveTo>
                                  <a:pt x="4855807" y="0"/>
                                </a:moveTo>
                                <a:lnTo>
                                  <a:pt x="3541865" y="0"/>
                                </a:lnTo>
                                <a:lnTo>
                                  <a:pt x="0" y="0"/>
                                </a:lnTo>
                                <a:lnTo>
                                  <a:pt x="0" y="10934"/>
                                </a:lnTo>
                                <a:lnTo>
                                  <a:pt x="3541865" y="10934"/>
                                </a:lnTo>
                                <a:lnTo>
                                  <a:pt x="4855807" y="10934"/>
                                </a:lnTo>
                                <a:lnTo>
                                  <a:pt x="4855807" y="0"/>
                                </a:lnTo>
                                <a:close/>
                              </a:path>
                            </a:pathLst>
                          </a:custGeom>
                          <a:solidFill>
                            <a:srgbClr val="7B5DA0"/>
                          </a:solidFill>
                        </wps:spPr>
                        <wps:bodyPr wrap="square" lIns="0" tIns="0" rIns="0" bIns="0" rtlCol="0">
                          <a:prstTxWarp prst="textNoShape">
                            <a:avLst/>
                          </a:prstTxWarp>
                          <a:noAutofit/>
                        </wps:bodyPr>
                      </wps:wsp>
                    </wpg:wgp>
                  </a:graphicData>
                </a:graphic>
              </wp:anchor>
            </w:drawing>
          </mc:Choice>
          <mc:Fallback>
            <w:pict>
              <v:group style="position:absolute;margin-left:96.02330pt;margin-top:3.237309pt;width:382.35pt;height:17.75pt;mso-position-horizontal-relative:page;mso-position-vertical-relative:paragraph;z-index:-16231424" id="docshapegroup53" coordorigin="1920,65" coordsize="7647,355">
                <v:shape style="position:absolute;left:1930;top:64;width:2869;height:337" id="docshape54" coordorigin="1930,65" coordsize="2869,337" path="m4799,65l4696,65,4696,65,2036,65,2036,65,1930,65,1930,387,1930,401,4799,401,4799,387,4799,65xe" filled="true" fillcolor="#dfd8e8" stroked="false">
                  <v:path arrowok="t"/>
                  <v:fill type="solid"/>
                </v:shape>
                <v:shape style="position:absolute;left:1920;top:401;width:7647;height:18" id="docshape55" coordorigin="1920,402" coordsize="7647,18" path="m9567,402l7498,402,1920,402,1920,419,7498,419,9567,419,9567,402xe" filled="true" fillcolor="#7b5da0" stroked="false">
                  <v:path arrowok="t"/>
                  <v:fill type="solid"/>
                </v:shape>
                <w10:wrap type="none"/>
              </v:group>
            </w:pict>
          </mc:Fallback>
        </mc:AlternateContent>
      </w:r>
      <w:r>
        <w:rPr/>
        <mc:AlternateContent>
          <mc:Choice Requires="wps">
            <w:drawing>
              <wp:anchor distT="0" distB="0" distL="0" distR="0" allowOverlap="1" layoutInCell="1" locked="0" behindDoc="0" simplePos="0" relativeHeight="15742464">
                <wp:simplePos x="0" y="0"/>
                <wp:positionH relativeFrom="page">
                  <wp:posOffset>4823860</wp:posOffset>
                </wp:positionH>
                <wp:positionV relativeFrom="paragraph">
                  <wp:posOffset>41113</wp:posOffset>
                </wp:positionV>
                <wp:extent cx="1184275" cy="214629"/>
                <wp:effectExtent l="0" t="0" r="0" b="0"/>
                <wp:wrapNone/>
                <wp:docPr id="58" name="Textbox 58"/>
                <wp:cNvGraphicFramePr>
                  <a:graphicFrameLocks/>
                </wp:cNvGraphicFramePr>
                <a:graphic>
                  <a:graphicData uri="http://schemas.microsoft.com/office/word/2010/wordprocessingShape">
                    <wps:wsp>
                      <wps:cNvPr id="58" name="Textbox 58"/>
                      <wps:cNvSpPr txBox="1"/>
                      <wps:spPr>
                        <a:xfrm>
                          <a:off x="0" y="0"/>
                          <a:ext cx="1184275" cy="214629"/>
                        </a:xfrm>
                        <a:prstGeom prst="rect">
                          <a:avLst/>
                        </a:prstGeom>
                        <a:solidFill>
                          <a:srgbClr val="DFD8E8"/>
                        </a:solidFill>
                      </wps:spPr>
                      <wps:txbx>
                        <w:txbxContent>
                          <w:p>
                            <w:pPr>
                              <w:spacing w:before="41"/>
                              <w:ind w:left="30" w:right="4" w:firstLine="0"/>
                              <w:jc w:val="center"/>
                              <w:rPr>
                                <w:color w:val="000000"/>
                                <w:sz w:val="20"/>
                              </w:rPr>
                            </w:pPr>
                            <w:r>
                              <w:rPr>
                                <w:color w:val="030303"/>
                                <w:spacing w:val="-2"/>
                                <w:w w:val="105"/>
                                <w:sz w:val="20"/>
                              </w:rPr>
                              <w:t>0.005</w:t>
                            </w:r>
                          </w:p>
                        </w:txbxContent>
                      </wps:txbx>
                      <wps:bodyPr wrap="square" lIns="0" tIns="0" rIns="0" bIns="0" rtlCol="0">
                        <a:noAutofit/>
                      </wps:bodyPr>
                    </wps:wsp>
                  </a:graphicData>
                </a:graphic>
              </wp:anchor>
            </w:drawing>
          </mc:Choice>
          <mc:Fallback>
            <w:pict>
              <v:shape style="position:absolute;margin-left:379.831512pt;margin-top:3.237309pt;width:93.25pt;height:16.9pt;mso-position-horizontal-relative:page;mso-position-vertical-relative:paragraph;z-index:15742464" type="#_x0000_t202" id="docshape56" filled="true" fillcolor="#dfd8e8" stroked="false">
                <v:textbox inset="0,0,0,0">
                  <w:txbxContent>
                    <w:p>
                      <w:pPr>
                        <w:spacing w:before="41"/>
                        <w:ind w:left="30" w:right="4" w:firstLine="0"/>
                        <w:jc w:val="center"/>
                        <w:rPr>
                          <w:color w:val="000000"/>
                          <w:sz w:val="20"/>
                        </w:rPr>
                      </w:pPr>
                      <w:r>
                        <w:rPr>
                          <w:color w:val="030303"/>
                          <w:spacing w:val="-2"/>
                          <w:w w:val="105"/>
                          <w:sz w:val="20"/>
                        </w:rPr>
                        <w:t>0.005</w:t>
                      </w:r>
                    </w:p>
                  </w:txbxContent>
                </v:textbox>
                <v:fill type="solid"/>
                <w10:wrap type="none"/>
              </v:shape>
            </w:pict>
          </mc:Fallback>
        </mc:AlternateContent>
      </w:r>
      <w:r>
        <w:rPr/>
        <mc:AlternateContent>
          <mc:Choice Requires="wps">
            <w:drawing>
              <wp:anchor distT="0" distB="0" distL="0" distR="0" allowOverlap="1" layoutInCell="1" locked="0" behindDoc="0" simplePos="0" relativeHeight="15742976">
                <wp:simplePos x="0" y="0"/>
                <wp:positionH relativeFrom="page">
                  <wp:posOffset>3886444</wp:posOffset>
                </wp:positionH>
                <wp:positionV relativeFrom="paragraph">
                  <wp:posOffset>41113</wp:posOffset>
                </wp:positionV>
                <wp:extent cx="805180" cy="214629"/>
                <wp:effectExtent l="0" t="0" r="0" b="0"/>
                <wp:wrapNone/>
                <wp:docPr id="59" name="Textbox 59"/>
                <wp:cNvGraphicFramePr>
                  <a:graphicFrameLocks/>
                </wp:cNvGraphicFramePr>
                <a:graphic>
                  <a:graphicData uri="http://schemas.microsoft.com/office/word/2010/wordprocessingShape">
                    <wps:wsp>
                      <wps:cNvPr id="59" name="Textbox 59"/>
                      <wps:cNvSpPr txBox="1"/>
                      <wps:spPr>
                        <a:xfrm>
                          <a:off x="0" y="0"/>
                          <a:ext cx="805180" cy="214629"/>
                        </a:xfrm>
                        <a:prstGeom prst="rect">
                          <a:avLst/>
                        </a:prstGeom>
                        <a:solidFill>
                          <a:srgbClr val="DFD8E8"/>
                        </a:solidFill>
                      </wps:spPr>
                      <wps:txbx>
                        <w:txbxContent>
                          <w:p>
                            <w:pPr>
                              <w:spacing w:before="37"/>
                              <w:ind w:left="236" w:right="0" w:firstLine="0"/>
                              <w:jc w:val="left"/>
                              <w:rPr>
                                <w:color w:val="000000"/>
                                <w:sz w:val="20"/>
                              </w:rPr>
                            </w:pPr>
                            <w:r>
                              <w:rPr>
                                <w:color w:val="030303"/>
                                <w:spacing w:val="-2"/>
                                <w:w w:val="110"/>
                                <w:sz w:val="20"/>
                              </w:rPr>
                              <w:t>1193</w:t>
                            </w:r>
                            <w:r>
                              <w:rPr>
                                <w:color w:val="3B3838"/>
                                <w:spacing w:val="-2"/>
                                <w:w w:val="110"/>
                                <w:sz w:val="20"/>
                              </w:rPr>
                              <w:t>.</w:t>
                            </w:r>
                            <w:r>
                              <w:rPr>
                                <w:color w:val="030303"/>
                                <w:spacing w:val="-2"/>
                                <w:w w:val="110"/>
                                <w:sz w:val="20"/>
                              </w:rPr>
                              <w:t>983</w:t>
                            </w:r>
                          </w:p>
                        </w:txbxContent>
                      </wps:txbx>
                      <wps:bodyPr wrap="square" lIns="0" tIns="0" rIns="0" bIns="0" rtlCol="0">
                        <a:noAutofit/>
                      </wps:bodyPr>
                    </wps:wsp>
                  </a:graphicData>
                </a:graphic>
              </wp:anchor>
            </w:drawing>
          </mc:Choice>
          <mc:Fallback>
            <w:pict>
              <v:shape style="position:absolute;margin-left:306.019287pt;margin-top:3.237309pt;width:63.4pt;height:16.9pt;mso-position-horizontal-relative:page;mso-position-vertical-relative:paragraph;z-index:15742976" type="#_x0000_t202" id="docshape57" filled="true" fillcolor="#dfd8e8" stroked="false">
                <v:textbox inset="0,0,0,0">
                  <w:txbxContent>
                    <w:p>
                      <w:pPr>
                        <w:spacing w:before="37"/>
                        <w:ind w:left="236" w:right="0" w:firstLine="0"/>
                        <w:jc w:val="left"/>
                        <w:rPr>
                          <w:color w:val="000000"/>
                          <w:sz w:val="20"/>
                        </w:rPr>
                      </w:pPr>
                      <w:r>
                        <w:rPr>
                          <w:color w:val="030303"/>
                          <w:spacing w:val="-2"/>
                          <w:w w:val="110"/>
                          <w:sz w:val="20"/>
                        </w:rPr>
                        <w:t>1193</w:t>
                      </w:r>
                      <w:r>
                        <w:rPr>
                          <w:color w:val="3B3838"/>
                          <w:spacing w:val="-2"/>
                          <w:w w:val="110"/>
                          <w:sz w:val="20"/>
                        </w:rPr>
                        <w:t>.</w:t>
                      </w:r>
                      <w:r>
                        <w:rPr>
                          <w:color w:val="030303"/>
                          <w:spacing w:val="-2"/>
                          <w:w w:val="110"/>
                          <w:sz w:val="20"/>
                        </w:rPr>
                        <w:t>983</w:t>
                      </w:r>
                    </w:p>
                  </w:txbxContent>
                </v:textbox>
                <v:fill type="solid"/>
                <w10:wrap type="none"/>
              </v:shape>
            </w:pict>
          </mc:Fallback>
        </mc:AlternateContent>
      </w:r>
      <w:r>
        <w:rPr/>
        <mc:AlternateContent>
          <mc:Choice Requires="wps">
            <w:drawing>
              <wp:anchor distT="0" distB="0" distL="0" distR="0" allowOverlap="1" layoutInCell="1" locked="0" behindDoc="0" simplePos="0" relativeHeight="15743488">
                <wp:simplePos x="0" y="0"/>
                <wp:positionH relativeFrom="page">
                  <wp:posOffset>3114636</wp:posOffset>
                </wp:positionH>
                <wp:positionV relativeFrom="paragraph">
                  <wp:posOffset>41113</wp:posOffset>
                </wp:positionV>
                <wp:extent cx="639445" cy="214629"/>
                <wp:effectExtent l="0" t="0" r="0" b="0"/>
                <wp:wrapNone/>
                <wp:docPr id="60" name="Textbox 60"/>
                <wp:cNvGraphicFramePr>
                  <a:graphicFrameLocks/>
                </wp:cNvGraphicFramePr>
                <a:graphic>
                  <a:graphicData uri="http://schemas.microsoft.com/office/word/2010/wordprocessingShape">
                    <wps:wsp>
                      <wps:cNvPr id="60" name="Textbox 60"/>
                      <wps:cNvSpPr txBox="1"/>
                      <wps:spPr>
                        <a:xfrm>
                          <a:off x="0" y="0"/>
                          <a:ext cx="639445" cy="214629"/>
                        </a:xfrm>
                        <a:prstGeom prst="rect">
                          <a:avLst/>
                        </a:prstGeom>
                        <a:solidFill>
                          <a:srgbClr val="DFD8E8"/>
                        </a:solidFill>
                      </wps:spPr>
                      <wps:txbx>
                        <w:txbxContent>
                          <w:p>
                            <w:pPr>
                              <w:spacing w:before="37"/>
                              <w:ind w:left="288" w:right="0" w:firstLine="0"/>
                              <w:jc w:val="left"/>
                              <w:rPr>
                                <w:color w:val="000000"/>
                                <w:sz w:val="20"/>
                              </w:rPr>
                            </w:pPr>
                            <w:r>
                              <w:rPr>
                                <w:color w:val="030303"/>
                                <w:spacing w:val="-4"/>
                                <w:w w:val="110"/>
                                <w:sz w:val="20"/>
                              </w:rPr>
                              <w:t>1200</w:t>
                            </w:r>
                          </w:p>
                        </w:txbxContent>
                      </wps:txbx>
                      <wps:bodyPr wrap="square" lIns="0" tIns="0" rIns="0" bIns="0" rtlCol="0">
                        <a:noAutofit/>
                      </wps:bodyPr>
                    </wps:wsp>
                  </a:graphicData>
                </a:graphic>
              </wp:anchor>
            </w:drawing>
          </mc:Choice>
          <mc:Fallback>
            <w:pict>
              <v:shape style="position:absolute;margin-left:245.246994pt;margin-top:3.237309pt;width:50.35pt;height:16.9pt;mso-position-horizontal-relative:page;mso-position-vertical-relative:paragraph;z-index:15743488" type="#_x0000_t202" id="docshape58" filled="true" fillcolor="#dfd8e8" stroked="false">
                <v:textbox inset="0,0,0,0">
                  <w:txbxContent>
                    <w:p>
                      <w:pPr>
                        <w:spacing w:before="37"/>
                        <w:ind w:left="288" w:right="0" w:firstLine="0"/>
                        <w:jc w:val="left"/>
                        <w:rPr>
                          <w:color w:val="000000"/>
                          <w:sz w:val="20"/>
                        </w:rPr>
                      </w:pPr>
                      <w:r>
                        <w:rPr>
                          <w:color w:val="030303"/>
                          <w:spacing w:val="-4"/>
                          <w:w w:val="110"/>
                          <w:sz w:val="20"/>
                        </w:rPr>
                        <w:t>1200</w:t>
                      </w:r>
                    </w:p>
                  </w:txbxContent>
                </v:textbox>
                <v:fill type="solid"/>
                <w10:wrap type="none"/>
              </v:shape>
            </w:pict>
          </mc:Fallback>
        </mc:AlternateContent>
      </w:r>
      <w:r>
        <w:rPr>
          <w:color w:val="131313"/>
        </w:rPr>
        <w:t>Training</w:t>
      </w:r>
      <w:r>
        <w:rPr>
          <w:color w:val="131313"/>
          <w:spacing w:val="10"/>
        </w:rPr>
        <w:t> </w:t>
      </w:r>
      <w:r>
        <w:rPr>
          <w:color w:val="131313"/>
          <w:spacing w:val="-2"/>
        </w:rPr>
        <w:t>Motivation</w:t>
      </w:r>
    </w:p>
    <w:p>
      <w:pPr>
        <w:pStyle w:val="BodyText"/>
        <w:spacing w:line="290" w:lineRule="auto" w:before="177"/>
        <w:ind w:left="314" w:right="319" w:hanging="7"/>
        <w:jc w:val="center"/>
      </w:pPr>
      <w:r>
        <w:rPr>
          <w:color w:val="131313"/>
        </w:rPr>
        <w:t>In the context of the Readymade Garments Industry of Bangladesh,</w:t>
      </w:r>
      <w:r>
        <w:rPr>
          <w:color w:val="131313"/>
          <w:spacing w:val="27"/>
        </w:rPr>
        <w:t> </w:t>
      </w:r>
      <w:r>
        <w:rPr>
          <w:color w:val="131313"/>
        </w:rPr>
        <w:t>the predictive</w:t>
      </w:r>
      <w:r>
        <w:rPr>
          <w:color w:val="131313"/>
          <w:spacing w:val="29"/>
        </w:rPr>
        <w:t> </w:t>
      </w:r>
      <w:r>
        <w:rPr>
          <w:color w:val="131313"/>
        </w:rPr>
        <w:t>relevance (Q</w:t>
      </w:r>
      <w:r>
        <w:rPr>
          <w:color w:val="131313"/>
          <w:position w:val="7"/>
          <w:sz w:val="11"/>
        </w:rPr>
        <w:t>2</w:t>
      </w:r>
      <w:r>
        <w:rPr>
          <w:color w:val="131313"/>
          <w:sz w:val="11"/>
        </w:rPr>
        <w:t>)</w:t>
      </w:r>
      <w:r>
        <w:rPr>
          <w:color w:val="131313"/>
          <w:spacing w:val="55"/>
          <w:sz w:val="11"/>
        </w:rPr>
        <w:t> </w:t>
      </w:r>
      <w:r>
        <w:rPr>
          <w:color w:val="131313"/>
        </w:rPr>
        <w:t>provides</w:t>
      </w:r>
      <w:r>
        <w:rPr>
          <w:color w:val="131313"/>
          <w:spacing w:val="17"/>
        </w:rPr>
        <w:t> </w:t>
      </w:r>
      <w:r>
        <w:rPr>
          <w:color w:val="131313"/>
        </w:rPr>
        <w:t>valuable</w:t>
      </w:r>
      <w:r>
        <w:rPr>
          <w:color w:val="131313"/>
          <w:spacing w:val="18"/>
        </w:rPr>
        <w:t> </w:t>
      </w:r>
      <w:r>
        <w:rPr>
          <w:color w:val="131313"/>
        </w:rPr>
        <w:t>insights</w:t>
      </w:r>
      <w:r>
        <w:rPr>
          <w:color w:val="131313"/>
          <w:spacing w:val="19"/>
        </w:rPr>
        <w:t> </w:t>
      </w:r>
      <w:r>
        <w:rPr>
          <w:color w:val="131313"/>
        </w:rPr>
        <w:t>into</w:t>
      </w:r>
      <w:r>
        <w:rPr>
          <w:color w:val="131313"/>
          <w:spacing w:val="9"/>
        </w:rPr>
        <w:t> </w:t>
      </w:r>
      <w:r>
        <w:rPr>
          <w:color w:val="131313"/>
        </w:rPr>
        <w:t>the</w:t>
      </w:r>
      <w:r>
        <w:rPr>
          <w:color w:val="131313"/>
          <w:spacing w:val="6"/>
        </w:rPr>
        <w:t> </w:t>
      </w:r>
      <w:r>
        <w:rPr>
          <w:color w:val="131313"/>
        </w:rPr>
        <w:t>extent</w:t>
      </w:r>
      <w:r>
        <w:rPr>
          <w:color w:val="131313"/>
          <w:spacing w:val="9"/>
        </w:rPr>
        <w:t> </w:t>
      </w:r>
      <w:r>
        <w:rPr>
          <w:color w:val="131313"/>
        </w:rPr>
        <w:t>to</w:t>
      </w:r>
      <w:r>
        <w:rPr>
          <w:color w:val="131313"/>
          <w:spacing w:val="12"/>
        </w:rPr>
        <w:t> </w:t>
      </w:r>
      <w:r>
        <w:rPr>
          <w:color w:val="131313"/>
        </w:rPr>
        <w:t>which</w:t>
      </w:r>
      <w:r>
        <w:rPr>
          <w:color w:val="131313"/>
          <w:spacing w:val="19"/>
        </w:rPr>
        <w:t> </w:t>
      </w:r>
      <w:r>
        <w:rPr>
          <w:color w:val="131313"/>
        </w:rPr>
        <w:t>Training</w:t>
      </w:r>
      <w:r>
        <w:rPr>
          <w:color w:val="131313"/>
          <w:spacing w:val="14"/>
        </w:rPr>
        <w:t> </w:t>
      </w:r>
      <w:r>
        <w:rPr>
          <w:color w:val="131313"/>
        </w:rPr>
        <w:t>&amp;</w:t>
      </w:r>
      <w:r>
        <w:rPr>
          <w:color w:val="131313"/>
          <w:spacing w:val="5"/>
        </w:rPr>
        <w:t> </w:t>
      </w:r>
      <w:r>
        <w:rPr>
          <w:color w:val="131313"/>
        </w:rPr>
        <w:t>Development</w:t>
      </w:r>
      <w:r>
        <w:rPr>
          <w:color w:val="131313"/>
          <w:spacing w:val="21"/>
        </w:rPr>
        <w:t> </w:t>
      </w:r>
      <w:r>
        <w:rPr>
          <w:color w:val="131313"/>
        </w:rPr>
        <w:t>(T&amp;D)</w:t>
      </w:r>
      <w:r>
        <w:rPr>
          <w:color w:val="131313"/>
          <w:spacing w:val="7"/>
        </w:rPr>
        <w:t> </w:t>
      </w:r>
      <w:r>
        <w:rPr>
          <w:color w:val="131313"/>
          <w:spacing w:val="-5"/>
        </w:rPr>
        <w:t>and</w:t>
      </w:r>
    </w:p>
    <w:p>
      <w:pPr>
        <w:pStyle w:val="BodyText"/>
      </w:pPr>
    </w:p>
    <w:p>
      <w:pPr>
        <w:pStyle w:val="BodyText"/>
      </w:pPr>
    </w:p>
    <w:p>
      <w:pPr>
        <w:pStyle w:val="BodyText"/>
        <w:spacing w:before="89"/>
      </w:pPr>
    </w:p>
    <w:p>
      <w:pPr>
        <w:spacing w:before="0"/>
        <w:ind w:left="859" w:right="823" w:firstLine="0"/>
        <w:jc w:val="center"/>
        <w:rPr>
          <w:sz w:val="17"/>
        </w:rPr>
      </w:pPr>
      <w:r>
        <w:rPr>
          <w:color w:val="3B3838"/>
          <w:spacing w:val="-5"/>
          <w:w w:val="110"/>
          <w:sz w:val="17"/>
        </w:rPr>
        <w:t>70</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71" w:id="15"/>
      <w:bookmarkEnd w:id="15"/>
      <w:r>
        <w:rPr/>
      </w:r>
      <w:r>
        <w:rPr>
          <w:i/>
          <w:color w:val="3B3838"/>
          <w:sz w:val="18"/>
        </w:rPr>
        <w:t>Mahbub</w:t>
      </w:r>
      <w:r>
        <w:rPr>
          <w:i/>
          <w:color w:val="565454"/>
          <w:sz w:val="18"/>
        </w:rPr>
        <w:t>/</w:t>
      </w:r>
      <w:r>
        <w:rPr>
          <w:i/>
          <w:color w:val="3B3838"/>
          <w:sz w:val="18"/>
        </w:rPr>
        <w:t>Comilla</w:t>
      </w:r>
      <w:r>
        <w:rPr>
          <w:i/>
          <w:color w:val="3B3838"/>
          <w:spacing w:val="-12"/>
          <w:sz w:val="18"/>
        </w:rPr>
        <w:t> </w:t>
      </w:r>
      <w:r>
        <w:rPr>
          <w:i/>
          <w:color w:val="3B3838"/>
          <w:sz w:val="18"/>
        </w:rPr>
        <w:t>Un</w:t>
      </w:r>
      <w:r>
        <w:rPr>
          <w:i/>
          <w:color w:val="131313"/>
          <w:sz w:val="18"/>
        </w:rPr>
        <w:t>i</w:t>
      </w:r>
      <w:r>
        <w:rPr>
          <w:i/>
          <w:color w:val="3B3838"/>
          <w:sz w:val="18"/>
        </w:rPr>
        <w:t>versity</w:t>
      </w:r>
      <w:r>
        <w:rPr>
          <w:i/>
          <w:color w:val="3B3838"/>
          <w:spacing w:val="-11"/>
          <w:sz w:val="18"/>
        </w:rPr>
        <w:t> </w:t>
      </w:r>
      <w:r>
        <w:rPr>
          <w:i/>
          <w:color w:val="3B3838"/>
          <w:sz w:val="18"/>
        </w:rPr>
        <w:t>Journal</w:t>
      </w:r>
      <w:r>
        <w:rPr>
          <w:i/>
          <w:color w:val="3B3838"/>
          <w:spacing w:val="-6"/>
          <w:sz w:val="18"/>
        </w:rPr>
        <w:t> </w:t>
      </w:r>
      <w:r>
        <w:rPr>
          <w:i/>
          <w:color w:val="3B3838"/>
          <w:sz w:val="18"/>
        </w:rPr>
        <w:t>of</w:t>
      </w:r>
      <w:r>
        <w:rPr>
          <w:i/>
          <w:color w:val="3B3838"/>
          <w:spacing w:val="-5"/>
          <w:sz w:val="18"/>
        </w:rPr>
        <w:t> </w:t>
      </w:r>
      <w:r>
        <w:rPr>
          <w:i/>
          <w:color w:val="3B3838"/>
          <w:sz w:val="18"/>
        </w:rPr>
        <w:t>Business</w:t>
      </w:r>
      <w:r>
        <w:rPr>
          <w:i/>
          <w:color w:val="3B3838"/>
          <w:spacing w:val="-2"/>
          <w:sz w:val="18"/>
        </w:rPr>
        <w:t> </w:t>
      </w:r>
      <w:r>
        <w:rPr>
          <w:i/>
          <w:color w:val="3B3838"/>
          <w:sz w:val="18"/>
        </w:rPr>
        <w:t>Studies</w:t>
      </w:r>
      <w:r>
        <w:rPr>
          <w:i/>
          <w:color w:val="3B3838"/>
          <w:spacing w:val="51"/>
          <w:sz w:val="18"/>
        </w:rPr>
        <w:t> </w:t>
      </w:r>
      <w:r>
        <w:rPr>
          <w:i/>
          <w:color w:val="131313"/>
          <w:sz w:val="18"/>
        </w:rPr>
        <w:t>IO</w:t>
      </w:r>
      <w:r>
        <w:rPr>
          <w:i/>
          <w:color w:val="131313"/>
          <w:spacing w:val="-11"/>
          <w:sz w:val="18"/>
        </w:rPr>
        <w:t> </w:t>
      </w:r>
      <w:r>
        <w:rPr>
          <w:i/>
          <w:color w:val="3B3838"/>
          <w:sz w:val="18"/>
        </w:rPr>
        <w:t>(2023)</w:t>
      </w:r>
      <w:r>
        <w:rPr>
          <w:i/>
          <w:color w:val="3B3838"/>
          <w:spacing w:val="-9"/>
          <w:sz w:val="18"/>
        </w:rPr>
        <w:t> </w:t>
      </w:r>
      <w:r>
        <w:rPr>
          <w:i/>
          <w:color w:val="3B3838"/>
          <w:sz w:val="18"/>
        </w:rPr>
        <w:t>5</w:t>
      </w:r>
      <w:r>
        <w:rPr>
          <w:color w:val="3B3838"/>
          <w:sz w:val="18"/>
        </w:rPr>
        <w:t>7</w:t>
      </w:r>
      <w:r>
        <w:rPr>
          <w:color w:val="131313"/>
          <w:sz w:val="18"/>
        </w:rPr>
        <w:t>-</w:t>
      </w:r>
      <w:r>
        <w:rPr>
          <w:i/>
          <w:color w:val="3B3838"/>
          <w:spacing w:val="-7"/>
          <w:sz w:val="18"/>
        </w:rPr>
        <w:t>77</w:t>
      </w:r>
    </w:p>
    <w:p>
      <w:pPr>
        <w:pStyle w:val="BodyText"/>
        <w:spacing w:before="149"/>
        <w:rPr>
          <w:i/>
          <w:sz w:val="18"/>
        </w:rPr>
      </w:pPr>
    </w:p>
    <w:p>
      <w:pPr>
        <w:pStyle w:val="BodyText"/>
        <w:spacing w:line="290" w:lineRule="auto"/>
        <w:ind w:left="323" w:right="301"/>
        <w:jc w:val="both"/>
      </w:pPr>
      <w:r>
        <w:rPr>
          <w:color w:val="131313"/>
        </w:rPr>
        <w:t>Training Motivation (TM) predict </w:t>
      </w:r>
      <w:r>
        <w:rPr>
          <w:color w:val="262626"/>
        </w:rPr>
        <w:t>Employee </w:t>
      </w:r>
      <w:r>
        <w:rPr>
          <w:color w:val="131313"/>
        </w:rPr>
        <w:t>Productivity (EP). The Q</w:t>
      </w:r>
      <w:r>
        <w:rPr>
          <w:rFonts w:ascii="Arial"/>
          <w:color w:val="131313"/>
          <w:position w:val="7"/>
          <w:sz w:val="10"/>
        </w:rPr>
        <w:t>2</w:t>
      </w:r>
      <w:r>
        <w:rPr>
          <w:rFonts w:ascii="Arial"/>
          <w:color w:val="131313"/>
          <w:spacing w:val="30"/>
          <w:position w:val="7"/>
          <w:sz w:val="10"/>
        </w:rPr>
        <w:t> </w:t>
      </w:r>
      <w:r>
        <w:rPr>
          <w:color w:val="131313"/>
        </w:rPr>
        <w:t>values for EP</w:t>
      </w:r>
      <w:r>
        <w:rPr>
          <w:color w:val="131313"/>
          <w:spacing w:val="-3"/>
        </w:rPr>
        <w:t> </w:t>
      </w:r>
      <w:r>
        <w:rPr>
          <w:color w:val="131313"/>
        </w:rPr>
        <w:t>(0.213), T&amp;D (0.000), and TM (0.005) indicate varying degrees of predictive capability within the structural model. A Q</w:t>
      </w:r>
      <w:r>
        <w:rPr>
          <w:color w:val="131313"/>
          <w:position w:val="7"/>
          <w:sz w:val="11"/>
        </w:rPr>
        <w:t>2</w:t>
      </w:r>
      <w:r>
        <w:rPr>
          <w:color w:val="131313"/>
          <w:spacing w:val="40"/>
          <w:position w:val="7"/>
          <w:sz w:val="11"/>
        </w:rPr>
        <w:t> </w:t>
      </w:r>
      <w:r>
        <w:rPr>
          <w:color w:val="131313"/>
        </w:rPr>
        <w:t>of 0.213 for EP suggests that T&amp;D and TM collectively explain approximately 21.3% of the variance in EP</w:t>
      </w:r>
      <w:r>
        <w:rPr>
          <w:color w:val="3B3838"/>
        </w:rPr>
        <w:t>, </w:t>
      </w:r>
      <w:r>
        <w:rPr>
          <w:color w:val="131313"/>
        </w:rPr>
        <w:t>indicating moderate predictive relevance. However,</w:t>
      </w:r>
      <w:r>
        <w:rPr>
          <w:color w:val="131313"/>
          <w:spacing w:val="40"/>
        </w:rPr>
        <w:t> </w:t>
      </w:r>
      <w:r>
        <w:rPr>
          <w:color w:val="131313"/>
        </w:rPr>
        <w:t>the</w:t>
      </w:r>
      <w:r>
        <w:rPr>
          <w:color w:val="131313"/>
          <w:spacing w:val="40"/>
        </w:rPr>
        <w:t> </w:t>
      </w:r>
      <w:r>
        <w:rPr>
          <w:color w:val="131313"/>
        </w:rPr>
        <w:t>Q</w:t>
      </w:r>
      <w:r>
        <w:rPr>
          <w:color w:val="131313"/>
          <w:position w:val="7"/>
          <w:sz w:val="11"/>
        </w:rPr>
        <w:t>2</w:t>
      </w:r>
      <w:r>
        <w:rPr>
          <w:color w:val="131313"/>
          <w:spacing w:val="40"/>
          <w:position w:val="7"/>
          <w:sz w:val="11"/>
        </w:rPr>
        <w:t> </w:t>
      </w:r>
      <w:r>
        <w:rPr>
          <w:color w:val="131313"/>
        </w:rPr>
        <w:t>values</w:t>
      </w:r>
      <w:r>
        <w:rPr>
          <w:color w:val="131313"/>
          <w:spacing w:val="40"/>
        </w:rPr>
        <w:t> </w:t>
      </w:r>
      <w:r>
        <w:rPr>
          <w:color w:val="131313"/>
        </w:rPr>
        <w:t>for</w:t>
      </w:r>
      <w:r>
        <w:rPr>
          <w:color w:val="131313"/>
          <w:spacing w:val="40"/>
        </w:rPr>
        <w:t> </w:t>
      </w:r>
      <w:r>
        <w:rPr>
          <w:color w:val="131313"/>
        </w:rPr>
        <w:t>T&amp;D</w:t>
      </w:r>
      <w:r>
        <w:rPr>
          <w:color w:val="131313"/>
          <w:spacing w:val="40"/>
        </w:rPr>
        <w:t> </w:t>
      </w:r>
      <w:r>
        <w:rPr>
          <w:color w:val="131313"/>
        </w:rPr>
        <w:t>(0.000)</w:t>
      </w:r>
      <w:r>
        <w:rPr>
          <w:color w:val="131313"/>
          <w:spacing w:val="40"/>
        </w:rPr>
        <w:t> </w:t>
      </w:r>
      <w:r>
        <w:rPr>
          <w:color w:val="131313"/>
        </w:rPr>
        <w:t>and</w:t>
      </w:r>
      <w:r>
        <w:rPr>
          <w:color w:val="131313"/>
          <w:spacing w:val="40"/>
        </w:rPr>
        <w:t> </w:t>
      </w:r>
      <w:r>
        <w:rPr>
          <w:color w:val="131313"/>
        </w:rPr>
        <w:t>TM</w:t>
      </w:r>
      <w:r>
        <w:rPr>
          <w:color w:val="131313"/>
          <w:spacing w:val="40"/>
        </w:rPr>
        <w:t> </w:t>
      </w:r>
      <w:r>
        <w:rPr>
          <w:color w:val="131313"/>
        </w:rPr>
        <w:t>(0.005)</w:t>
      </w:r>
      <w:r>
        <w:rPr>
          <w:color w:val="131313"/>
          <w:spacing w:val="40"/>
        </w:rPr>
        <w:t> </w:t>
      </w:r>
      <w:r>
        <w:rPr>
          <w:color w:val="131313"/>
        </w:rPr>
        <w:t>suggest</w:t>
      </w:r>
      <w:r>
        <w:rPr>
          <w:color w:val="131313"/>
          <w:spacing w:val="40"/>
        </w:rPr>
        <w:t> </w:t>
      </w:r>
      <w:r>
        <w:rPr>
          <w:color w:val="030505"/>
        </w:rPr>
        <w:t>limited</w:t>
      </w:r>
      <w:r>
        <w:rPr>
          <w:color w:val="030505"/>
          <w:spacing w:val="40"/>
        </w:rPr>
        <w:t> </w:t>
      </w:r>
      <w:r>
        <w:rPr>
          <w:color w:val="131313"/>
        </w:rPr>
        <w:t>predictive relevance for these constructs individually. While T&amp;D and TM may have some influence on EP, other factors not included in the model might also contribute to productivity outcomes in the Readymade Garments Industry of Bangladesh.</w:t>
      </w:r>
    </w:p>
    <w:p>
      <w:pPr>
        <w:pStyle w:val="ListParagraph"/>
        <w:numPr>
          <w:ilvl w:val="2"/>
          <w:numId w:val="1"/>
        </w:numPr>
        <w:tabs>
          <w:tab w:pos="798" w:val="left" w:leader="none"/>
        </w:tabs>
        <w:spacing w:line="240" w:lineRule="auto" w:before="118" w:after="0"/>
        <w:ind w:left="798" w:right="0" w:hanging="472"/>
        <w:jc w:val="both"/>
        <w:rPr>
          <w:i/>
          <w:color w:val="131313"/>
          <w:sz w:val="20"/>
        </w:rPr>
      </w:pPr>
      <w:r>
        <w:rPr>
          <w:i/>
          <w:color w:val="131313"/>
          <w:w w:val="105"/>
          <w:sz w:val="20"/>
        </w:rPr>
        <w:t>Multicolinearity</w:t>
      </w:r>
      <w:r>
        <w:rPr>
          <w:i/>
          <w:color w:val="131313"/>
          <w:spacing w:val="11"/>
          <w:w w:val="105"/>
          <w:sz w:val="20"/>
        </w:rPr>
        <w:t> </w:t>
      </w:r>
      <w:r>
        <w:rPr>
          <w:i/>
          <w:color w:val="131313"/>
          <w:spacing w:val="-4"/>
          <w:w w:val="105"/>
          <w:sz w:val="20"/>
        </w:rPr>
        <w:t>(VIF)</w:t>
      </w:r>
    </w:p>
    <w:p>
      <w:pPr>
        <w:pStyle w:val="BodyText"/>
        <w:spacing w:line="290" w:lineRule="auto" w:before="150"/>
        <w:ind w:left="325" w:right="300" w:hanging="2"/>
        <w:jc w:val="both"/>
      </w:pPr>
      <w:r>
        <w:rPr>
          <w:color w:val="131313"/>
        </w:rPr>
        <w:t>In studies investigating</w:t>
      </w:r>
      <w:r>
        <w:rPr>
          <w:color w:val="131313"/>
          <w:spacing w:val="40"/>
        </w:rPr>
        <w:t> </w:t>
      </w:r>
      <w:r>
        <w:rPr>
          <w:color w:val="131313"/>
        </w:rPr>
        <w:t>the relationship</w:t>
      </w:r>
      <w:r>
        <w:rPr>
          <w:color w:val="131313"/>
          <w:spacing w:val="40"/>
        </w:rPr>
        <w:t> </w:t>
      </w:r>
      <w:r>
        <w:rPr>
          <w:color w:val="131313"/>
        </w:rPr>
        <w:t>between training &amp; development</w:t>
      </w:r>
      <w:r>
        <w:rPr>
          <w:color w:val="131313"/>
          <w:spacing w:val="40"/>
        </w:rPr>
        <w:t> </w:t>
      </w:r>
      <w:r>
        <w:rPr>
          <w:color w:val="131313"/>
        </w:rPr>
        <w:t>(T&amp;D) and employee productivity</w:t>
      </w:r>
      <w:r>
        <w:rPr>
          <w:color w:val="3B3838"/>
        </w:rPr>
        <w:t>, </w:t>
      </w:r>
      <w:r>
        <w:rPr>
          <w:color w:val="131313"/>
        </w:rPr>
        <w:t>with training motivation as a mediator, multicollinearity</w:t>
      </w:r>
      <w:r>
        <w:rPr>
          <w:color w:val="3B3838"/>
        </w:rPr>
        <w:t>, </w:t>
      </w:r>
      <w:r>
        <w:rPr>
          <w:color w:val="131313"/>
        </w:rPr>
        <w:t>assessed by the Variance Inflation Factor (VIF)</w:t>
      </w:r>
      <w:r>
        <w:rPr>
          <w:color w:val="3B3838"/>
        </w:rPr>
        <w:t>, </w:t>
      </w:r>
      <w:r>
        <w:rPr>
          <w:color w:val="131313"/>
        </w:rPr>
        <w:t>is a concern. VIF indicates how much the variance of an independent</w:t>
      </w:r>
      <w:r>
        <w:rPr>
          <w:color w:val="131313"/>
          <w:spacing w:val="40"/>
        </w:rPr>
        <w:t> </w:t>
      </w:r>
      <w:r>
        <w:rPr>
          <w:color w:val="131313"/>
        </w:rPr>
        <w:t>variable</w:t>
      </w:r>
      <w:r>
        <w:rPr>
          <w:color w:val="131313"/>
          <w:spacing w:val="40"/>
        </w:rPr>
        <w:t> </w:t>
      </w:r>
      <w:r>
        <w:rPr>
          <w:color w:val="131313"/>
        </w:rPr>
        <w:t>(e.g.,</w:t>
      </w:r>
      <w:r>
        <w:rPr>
          <w:color w:val="131313"/>
          <w:spacing w:val="40"/>
        </w:rPr>
        <w:t> </w:t>
      </w:r>
      <w:r>
        <w:rPr>
          <w:color w:val="131313"/>
        </w:rPr>
        <w:t>T&amp;D</w:t>
      </w:r>
      <w:r>
        <w:rPr>
          <w:color w:val="131313"/>
          <w:spacing w:val="40"/>
        </w:rPr>
        <w:t> </w:t>
      </w:r>
      <w:r>
        <w:rPr>
          <w:color w:val="131313"/>
        </w:rPr>
        <w:t>or</w:t>
      </w:r>
      <w:r>
        <w:rPr>
          <w:color w:val="131313"/>
          <w:spacing w:val="40"/>
        </w:rPr>
        <w:t> </w:t>
      </w:r>
      <w:r>
        <w:rPr>
          <w:color w:val="131313"/>
        </w:rPr>
        <w:t>training</w:t>
      </w:r>
      <w:r>
        <w:rPr>
          <w:color w:val="131313"/>
          <w:spacing w:val="40"/>
        </w:rPr>
        <w:t> </w:t>
      </w:r>
      <w:r>
        <w:rPr>
          <w:color w:val="131313"/>
        </w:rPr>
        <w:t>motivation)</w:t>
      </w:r>
      <w:r>
        <w:rPr>
          <w:color w:val="131313"/>
          <w:spacing w:val="40"/>
        </w:rPr>
        <w:t> </w:t>
      </w:r>
      <w:r>
        <w:rPr>
          <w:color w:val="131313"/>
        </w:rPr>
        <w:t>is</w:t>
      </w:r>
      <w:r>
        <w:rPr>
          <w:color w:val="131313"/>
          <w:spacing w:val="40"/>
        </w:rPr>
        <w:t> </w:t>
      </w:r>
      <w:r>
        <w:rPr>
          <w:color w:val="131313"/>
        </w:rPr>
        <w:t>inflated</w:t>
      </w:r>
      <w:r>
        <w:rPr>
          <w:color w:val="131313"/>
          <w:spacing w:val="40"/>
        </w:rPr>
        <w:t> </w:t>
      </w:r>
      <w:r>
        <w:rPr>
          <w:color w:val="131313"/>
        </w:rPr>
        <w:t>due</w:t>
      </w:r>
      <w:r>
        <w:rPr>
          <w:color w:val="131313"/>
          <w:spacing w:val="40"/>
        </w:rPr>
        <w:t> </w:t>
      </w:r>
      <w:r>
        <w:rPr>
          <w:color w:val="131313"/>
        </w:rPr>
        <w:t>to</w:t>
      </w:r>
      <w:r>
        <w:rPr>
          <w:color w:val="131313"/>
          <w:spacing w:val="40"/>
        </w:rPr>
        <w:t> </w:t>
      </w:r>
      <w:r>
        <w:rPr>
          <w:color w:val="131313"/>
        </w:rPr>
        <w:t>its</w:t>
      </w:r>
      <w:r>
        <w:rPr>
          <w:color w:val="131313"/>
          <w:spacing w:val="40"/>
        </w:rPr>
        <w:t> </w:t>
      </w:r>
      <w:r>
        <w:rPr>
          <w:color w:val="131313"/>
        </w:rPr>
        <w:t>linear association</w:t>
      </w:r>
      <w:r>
        <w:rPr>
          <w:color w:val="131313"/>
          <w:spacing w:val="40"/>
        </w:rPr>
        <w:t> </w:t>
      </w:r>
      <w:r>
        <w:rPr>
          <w:color w:val="131313"/>
        </w:rPr>
        <w:t>with other independent</w:t>
      </w:r>
      <w:r>
        <w:rPr>
          <w:color w:val="131313"/>
          <w:spacing w:val="40"/>
        </w:rPr>
        <w:t> </w:t>
      </w:r>
      <w:r>
        <w:rPr>
          <w:color w:val="131313"/>
        </w:rPr>
        <w:t>variables</w:t>
      </w:r>
      <w:r>
        <w:rPr>
          <w:color w:val="131313"/>
          <w:spacing w:val="40"/>
        </w:rPr>
        <w:t> </w:t>
      </w:r>
      <w:r>
        <w:rPr>
          <w:color w:val="131313"/>
        </w:rPr>
        <w:t>in the model. Ideally, VIF values should</w:t>
      </w:r>
      <w:r>
        <w:rPr>
          <w:color w:val="131313"/>
          <w:spacing w:val="40"/>
        </w:rPr>
        <w:t> </w:t>
      </w:r>
      <w:r>
        <w:rPr>
          <w:color w:val="131313"/>
        </w:rPr>
        <w:t>be below</w:t>
      </w:r>
      <w:r>
        <w:rPr>
          <w:color w:val="131313"/>
          <w:spacing w:val="40"/>
        </w:rPr>
        <w:t> </w:t>
      </w:r>
      <w:r>
        <w:rPr>
          <w:color w:val="131313"/>
        </w:rPr>
        <w:t>a certain</w:t>
      </w:r>
      <w:r>
        <w:rPr>
          <w:color w:val="131313"/>
          <w:spacing w:val="40"/>
        </w:rPr>
        <w:t> </w:t>
      </w:r>
      <w:r>
        <w:rPr>
          <w:color w:val="131313"/>
        </w:rPr>
        <w:t>threshold</w:t>
      </w:r>
      <w:r>
        <w:rPr>
          <w:color w:val="131313"/>
          <w:spacing w:val="40"/>
        </w:rPr>
        <w:t> </w:t>
      </w:r>
      <w:r>
        <w:rPr>
          <w:color w:val="131313"/>
        </w:rPr>
        <w:t>(often 5 or 10) to ensure</w:t>
      </w:r>
      <w:r>
        <w:rPr>
          <w:color w:val="131313"/>
          <w:spacing w:val="40"/>
        </w:rPr>
        <w:t> </w:t>
      </w:r>
      <w:r>
        <w:rPr>
          <w:color w:val="131313"/>
        </w:rPr>
        <w:t>reliable</w:t>
      </w:r>
      <w:r>
        <w:rPr>
          <w:color w:val="131313"/>
          <w:spacing w:val="40"/>
        </w:rPr>
        <w:t> </w:t>
      </w:r>
      <w:r>
        <w:rPr>
          <w:color w:val="131313"/>
        </w:rPr>
        <w:t>estimates of the model's coefficients (Hair et al., 2019).</w:t>
      </w:r>
    </w:p>
    <w:p>
      <w:pPr>
        <w:pStyle w:val="BodyText"/>
        <w:spacing w:before="103"/>
        <w:ind w:left="2523"/>
        <w:jc w:val="both"/>
      </w:pPr>
      <w:r>
        <w:rPr>
          <w:b/>
          <w:color w:val="131313"/>
        </w:rPr>
        <w:t>Table</w:t>
      </w:r>
      <w:r>
        <w:rPr>
          <w:b/>
          <w:color w:val="131313"/>
          <w:spacing w:val="3"/>
        </w:rPr>
        <w:t> </w:t>
      </w:r>
      <w:r>
        <w:rPr>
          <w:color w:val="030505"/>
        </w:rPr>
        <w:t>7:</w:t>
      </w:r>
      <w:r>
        <w:rPr>
          <w:color w:val="030505"/>
          <w:spacing w:val="17"/>
        </w:rPr>
        <w:t> </w:t>
      </w:r>
      <w:r>
        <w:rPr>
          <w:color w:val="131313"/>
        </w:rPr>
        <w:t>Result</w:t>
      </w:r>
      <w:r>
        <w:rPr>
          <w:color w:val="131313"/>
          <w:spacing w:val="6"/>
        </w:rPr>
        <w:t> </w:t>
      </w:r>
      <w:r>
        <w:rPr>
          <w:color w:val="131313"/>
        </w:rPr>
        <w:t>of</w:t>
      </w:r>
      <w:r>
        <w:rPr>
          <w:color w:val="131313"/>
          <w:spacing w:val="7"/>
        </w:rPr>
        <w:t> </w:t>
      </w:r>
      <w:r>
        <w:rPr>
          <w:color w:val="131313"/>
        </w:rPr>
        <w:t>Multicollinearity</w:t>
      </w:r>
      <w:r>
        <w:rPr>
          <w:color w:val="131313"/>
          <w:spacing w:val="5"/>
        </w:rPr>
        <w:t> </w:t>
      </w:r>
      <w:r>
        <w:rPr>
          <w:color w:val="131313"/>
          <w:spacing w:val="-4"/>
        </w:rPr>
        <w:t>(VIF)</w:t>
      </w:r>
    </w:p>
    <w:p>
      <w:pPr>
        <w:pStyle w:val="BodyText"/>
        <w:spacing w:before="2"/>
        <w:rPr>
          <w:sz w:val="16"/>
        </w:rPr>
      </w:pPr>
    </w:p>
    <w:tbl>
      <w:tblPr>
        <w:tblW w:w="0" w:type="auto"/>
        <w:jc w:val="left"/>
        <w:tblInd w:w="20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517"/>
        <w:gridCol w:w="586"/>
        <w:gridCol w:w="603"/>
        <w:gridCol w:w="928"/>
      </w:tblGrid>
      <w:tr>
        <w:trPr>
          <w:trHeight w:val="374" w:hRule="atLeast"/>
        </w:trPr>
        <w:tc>
          <w:tcPr>
            <w:tcW w:w="2517" w:type="dxa"/>
            <w:tcBorders>
              <w:top w:val="single" w:sz="12" w:space="0" w:color="010202"/>
              <w:bottom w:val="single" w:sz="12" w:space="0" w:color="000000"/>
            </w:tcBorders>
          </w:tcPr>
          <w:p>
            <w:pPr>
              <w:pStyle w:val="TableParagraph"/>
              <w:rPr>
                <w:sz w:val="20"/>
              </w:rPr>
            </w:pPr>
          </w:p>
        </w:tc>
        <w:tc>
          <w:tcPr>
            <w:tcW w:w="586" w:type="dxa"/>
            <w:tcBorders>
              <w:top w:val="single" w:sz="12" w:space="0" w:color="010202"/>
              <w:bottom w:val="single" w:sz="12" w:space="0" w:color="000000"/>
            </w:tcBorders>
          </w:tcPr>
          <w:p>
            <w:pPr>
              <w:pStyle w:val="TableParagraph"/>
              <w:spacing w:before="70"/>
              <w:ind w:left="33" w:right="13"/>
              <w:jc w:val="center"/>
              <w:rPr>
                <w:rFonts w:ascii="Arial"/>
                <w:b/>
                <w:sz w:val="18"/>
              </w:rPr>
            </w:pPr>
            <w:r>
              <w:rPr>
                <w:rFonts w:ascii="Arial"/>
                <w:b/>
                <w:color w:val="030505"/>
                <w:spacing w:val="-5"/>
                <w:sz w:val="18"/>
              </w:rPr>
              <w:t>EP</w:t>
            </w:r>
          </w:p>
        </w:tc>
        <w:tc>
          <w:tcPr>
            <w:tcW w:w="603" w:type="dxa"/>
            <w:tcBorders>
              <w:top w:val="single" w:sz="12" w:space="0" w:color="010202"/>
              <w:bottom w:val="single" w:sz="12" w:space="0" w:color="000000"/>
            </w:tcBorders>
          </w:tcPr>
          <w:p>
            <w:pPr>
              <w:pStyle w:val="TableParagraph"/>
              <w:spacing w:before="52"/>
              <w:ind w:left="187"/>
              <w:rPr>
                <w:b/>
                <w:sz w:val="20"/>
              </w:rPr>
            </w:pPr>
            <w:r>
              <w:rPr>
                <w:b/>
                <w:color w:val="030505"/>
                <w:spacing w:val="-5"/>
                <w:sz w:val="20"/>
              </w:rPr>
              <w:t>TD</w:t>
            </w:r>
          </w:p>
        </w:tc>
        <w:tc>
          <w:tcPr>
            <w:tcW w:w="928" w:type="dxa"/>
            <w:tcBorders>
              <w:top w:val="single" w:sz="12" w:space="0" w:color="010202"/>
              <w:bottom w:val="single" w:sz="12" w:space="0" w:color="000000"/>
            </w:tcBorders>
          </w:tcPr>
          <w:p>
            <w:pPr>
              <w:pStyle w:val="TableParagraph"/>
              <w:spacing w:before="52"/>
              <w:ind w:left="21" w:right="22"/>
              <w:jc w:val="center"/>
              <w:rPr>
                <w:b/>
                <w:sz w:val="20"/>
              </w:rPr>
            </w:pPr>
            <w:r>
              <w:rPr>
                <w:b/>
                <w:color w:val="030505"/>
                <w:spacing w:val="-5"/>
                <w:sz w:val="20"/>
              </w:rPr>
              <w:t>TM</w:t>
            </w:r>
          </w:p>
        </w:tc>
      </w:tr>
      <w:tr>
        <w:trPr>
          <w:trHeight w:val="358" w:hRule="atLeast"/>
        </w:trPr>
        <w:tc>
          <w:tcPr>
            <w:tcW w:w="2517" w:type="dxa"/>
            <w:tcBorders>
              <w:top w:val="single" w:sz="12" w:space="0" w:color="000000"/>
            </w:tcBorders>
            <w:shd w:val="clear" w:color="auto" w:fill="DFD8E8"/>
          </w:tcPr>
          <w:p>
            <w:pPr>
              <w:pStyle w:val="TableParagraph"/>
              <w:spacing w:before="37"/>
              <w:ind w:left="110"/>
              <w:rPr>
                <w:sz w:val="21"/>
              </w:rPr>
            </w:pPr>
            <w:r>
              <w:rPr>
                <w:color w:val="131313"/>
                <w:sz w:val="21"/>
              </w:rPr>
              <w:t>Employee</w:t>
            </w:r>
            <w:r>
              <w:rPr>
                <w:color w:val="131313"/>
                <w:spacing w:val="3"/>
                <w:sz w:val="21"/>
              </w:rPr>
              <w:t> </w:t>
            </w:r>
            <w:r>
              <w:rPr>
                <w:color w:val="131313"/>
                <w:spacing w:val="-2"/>
                <w:sz w:val="21"/>
              </w:rPr>
              <w:t>Productivity</w:t>
            </w:r>
          </w:p>
        </w:tc>
        <w:tc>
          <w:tcPr>
            <w:tcW w:w="586" w:type="dxa"/>
            <w:tcBorders>
              <w:top w:val="single" w:sz="12" w:space="0" w:color="000000"/>
            </w:tcBorders>
          </w:tcPr>
          <w:p>
            <w:pPr>
              <w:pStyle w:val="TableParagraph"/>
              <w:rPr>
                <w:sz w:val="20"/>
              </w:rPr>
            </w:pPr>
          </w:p>
        </w:tc>
        <w:tc>
          <w:tcPr>
            <w:tcW w:w="603" w:type="dxa"/>
            <w:tcBorders>
              <w:top w:val="single" w:sz="12" w:space="0" w:color="000000"/>
            </w:tcBorders>
          </w:tcPr>
          <w:p>
            <w:pPr>
              <w:pStyle w:val="TableParagraph"/>
              <w:rPr>
                <w:sz w:val="20"/>
              </w:rPr>
            </w:pPr>
          </w:p>
        </w:tc>
        <w:tc>
          <w:tcPr>
            <w:tcW w:w="928" w:type="dxa"/>
            <w:tcBorders>
              <w:top w:val="single" w:sz="12" w:space="0" w:color="000000"/>
            </w:tcBorders>
            <w:shd w:val="clear" w:color="auto" w:fill="DFD8E8"/>
          </w:tcPr>
          <w:p>
            <w:pPr>
              <w:pStyle w:val="TableParagraph"/>
              <w:rPr>
                <w:sz w:val="20"/>
              </w:rPr>
            </w:pPr>
          </w:p>
        </w:tc>
      </w:tr>
      <w:tr>
        <w:trPr>
          <w:trHeight w:val="376" w:hRule="atLeast"/>
        </w:trPr>
        <w:tc>
          <w:tcPr>
            <w:tcW w:w="2517" w:type="dxa"/>
          </w:tcPr>
          <w:p>
            <w:pPr>
              <w:pStyle w:val="TableParagraph"/>
              <w:spacing w:before="38"/>
              <w:ind w:left="108"/>
              <w:rPr>
                <w:sz w:val="21"/>
              </w:rPr>
            </w:pPr>
            <w:r>
              <w:rPr>
                <w:color w:val="131313"/>
                <w:sz w:val="21"/>
              </w:rPr>
              <w:t>Training</w:t>
            </w:r>
            <w:r>
              <w:rPr>
                <w:color w:val="131313"/>
                <w:spacing w:val="10"/>
                <w:sz w:val="21"/>
              </w:rPr>
              <w:t> </w:t>
            </w:r>
            <w:r>
              <w:rPr>
                <w:color w:val="131313"/>
                <w:sz w:val="21"/>
              </w:rPr>
              <w:t>and</w:t>
            </w:r>
            <w:r>
              <w:rPr>
                <w:color w:val="131313"/>
                <w:spacing w:val="3"/>
                <w:sz w:val="21"/>
              </w:rPr>
              <w:t> </w:t>
            </w:r>
            <w:r>
              <w:rPr>
                <w:color w:val="131313"/>
                <w:spacing w:val="-2"/>
                <w:sz w:val="21"/>
              </w:rPr>
              <w:t>Development</w:t>
            </w:r>
          </w:p>
        </w:tc>
        <w:tc>
          <w:tcPr>
            <w:tcW w:w="586" w:type="dxa"/>
          </w:tcPr>
          <w:p>
            <w:pPr>
              <w:pStyle w:val="TableParagraph"/>
              <w:spacing w:before="47"/>
              <w:ind w:left="33"/>
              <w:jc w:val="center"/>
              <w:rPr>
                <w:sz w:val="20"/>
              </w:rPr>
            </w:pPr>
            <w:r>
              <w:rPr>
                <w:color w:val="131313"/>
                <w:spacing w:val="-4"/>
                <w:w w:val="115"/>
                <w:sz w:val="20"/>
              </w:rPr>
              <w:t>1.01</w:t>
            </w:r>
          </w:p>
        </w:tc>
        <w:tc>
          <w:tcPr>
            <w:tcW w:w="603" w:type="dxa"/>
          </w:tcPr>
          <w:p>
            <w:pPr>
              <w:pStyle w:val="TableParagraph"/>
              <w:rPr>
                <w:sz w:val="20"/>
              </w:rPr>
            </w:pPr>
          </w:p>
        </w:tc>
        <w:tc>
          <w:tcPr>
            <w:tcW w:w="928" w:type="dxa"/>
          </w:tcPr>
          <w:p>
            <w:pPr>
              <w:pStyle w:val="TableParagraph"/>
              <w:spacing w:before="52"/>
              <w:ind w:left="22" w:right="1"/>
              <w:jc w:val="center"/>
              <w:rPr>
                <w:sz w:val="20"/>
              </w:rPr>
            </w:pPr>
            <w:r>
              <w:rPr>
                <w:color w:val="030505"/>
                <w:spacing w:val="-4"/>
                <w:w w:val="110"/>
                <w:sz w:val="20"/>
              </w:rPr>
              <w:t>1.00</w:t>
            </w:r>
          </w:p>
        </w:tc>
      </w:tr>
      <w:tr>
        <w:trPr>
          <w:trHeight w:val="378" w:hRule="atLeast"/>
        </w:trPr>
        <w:tc>
          <w:tcPr>
            <w:tcW w:w="2517" w:type="dxa"/>
            <w:shd w:val="clear" w:color="auto" w:fill="DFD8E8"/>
          </w:tcPr>
          <w:p>
            <w:pPr>
              <w:pStyle w:val="TableParagraph"/>
              <w:spacing w:before="37"/>
              <w:ind w:left="108"/>
              <w:rPr>
                <w:sz w:val="21"/>
              </w:rPr>
            </w:pPr>
            <w:r>
              <w:rPr>
                <w:color w:val="131313"/>
                <w:sz w:val="21"/>
              </w:rPr>
              <w:t>Training</w:t>
            </w:r>
            <w:r>
              <w:rPr>
                <w:color w:val="131313"/>
                <w:spacing w:val="10"/>
                <w:sz w:val="21"/>
              </w:rPr>
              <w:t> </w:t>
            </w:r>
            <w:r>
              <w:rPr>
                <w:color w:val="131313"/>
                <w:spacing w:val="-2"/>
                <w:sz w:val="21"/>
              </w:rPr>
              <w:t>Motivation</w:t>
            </w:r>
          </w:p>
        </w:tc>
        <w:tc>
          <w:tcPr>
            <w:tcW w:w="586" w:type="dxa"/>
          </w:tcPr>
          <w:p>
            <w:pPr>
              <w:pStyle w:val="TableParagraph"/>
              <w:ind w:right="-44"/>
              <w:rPr>
                <w:sz w:val="20"/>
              </w:rPr>
            </w:pPr>
            <w:r>
              <w:rPr>
                <w:sz w:val="20"/>
              </w:rPr>
              <w:drawing>
                <wp:inline distT="0" distB="0" distL="0" distR="0">
                  <wp:extent cx="372851" cy="238125"/>
                  <wp:effectExtent l="0" t="0" r="0" b="0"/>
                  <wp:docPr id="61" name="Image 61"/>
                  <wp:cNvGraphicFramePr>
                    <a:graphicFrameLocks/>
                  </wp:cNvGraphicFramePr>
                  <a:graphic>
                    <a:graphicData uri="http://schemas.openxmlformats.org/drawingml/2006/picture">
                      <pic:pic>
                        <pic:nvPicPr>
                          <pic:cNvPr id="61" name="Image 61"/>
                          <pic:cNvPicPr/>
                        </pic:nvPicPr>
                        <pic:blipFill>
                          <a:blip r:embed="rId10" cstate="print"/>
                          <a:stretch>
                            <a:fillRect/>
                          </a:stretch>
                        </pic:blipFill>
                        <pic:spPr>
                          <a:xfrm>
                            <a:off x="0" y="0"/>
                            <a:ext cx="372851" cy="238125"/>
                          </a:xfrm>
                          <a:prstGeom prst="rect">
                            <a:avLst/>
                          </a:prstGeom>
                        </pic:spPr>
                      </pic:pic>
                    </a:graphicData>
                  </a:graphic>
                </wp:inline>
              </w:drawing>
            </w:r>
            <w:r>
              <w:rPr>
                <w:sz w:val="20"/>
              </w:rPr>
            </w:r>
          </w:p>
        </w:tc>
        <w:tc>
          <w:tcPr>
            <w:tcW w:w="603" w:type="dxa"/>
            <w:shd w:val="clear" w:color="auto" w:fill="DFD8E8"/>
          </w:tcPr>
          <w:p>
            <w:pPr>
              <w:pStyle w:val="TableParagraph"/>
              <w:rPr>
                <w:sz w:val="20"/>
              </w:rPr>
            </w:pPr>
          </w:p>
        </w:tc>
        <w:tc>
          <w:tcPr>
            <w:tcW w:w="928" w:type="dxa"/>
            <w:shd w:val="clear" w:color="auto" w:fill="DFD8E8"/>
          </w:tcPr>
          <w:p>
            <w:pPr>
              <w:pStyle w:val="TableParagraph"/>
              <w:rPr>
                <w:sz w:val="20"/>
              </w:rPr>
            </w:pPr>
          </w:p>
        </w:tc>
      </w:tr>
    </w:tbl>
    <w:p>
      <w:pPr>
        <w:pStyle w:val="BodyText"/>
        <w:spacing w:line="290" w:lineRule="auto" w:before="88"/>
        <w:ind w:left="323" w:right="302" w:firstLine="1"/>
        <w:jc w:val="both"/>
      </w:pPr>
      <w:r>
        <w:rPr/>
        <mc:AlternateContent>
          <mc:Choice Requires="wps">
            <w:drawing>
              <wp:anchor distT="0" distB="0" distL="0" distR="0" allowOverlap="1" layoutInCell="1" locked="0" behindDoc="0" simplePos="0" relativeHeight="15745024">
                <wp:simplePos x="0" y="0"/>
                <wp:positionH relativeFrom="page">
                  <wp:posOffset>2177064</wp:posOffset>
                </wp:positionH>
                <wp:positionV relativeFrom="paragraph">
                  <wp:posOffset>-9140</wp:posOffset>
                </wp:positionV>
                <wp:extent cx="2371725" cy="19050"/>
                <wp:effectExtent l="0" t="0" r="0" b="0"/>
                <wp:wrapNone/>
                <wp:docPr id="62" name="Graphic 62"/>
                <wp:cNvGraphicFramePr>
                  <a:graphicFrameLocks/>
                </wp:cNvGraphicFramePr>
                <a:graphic>
                  <a:graphicData uri="http://schemas.microsoft.com/office/word/2010/wordprocessingShape">
                    <wps:wsp>
                      <wps:cNvPr id="62" name="Graphic 62"/>
                      <wps:cNvSpPr/>
                      <wps:spPr>
                        <a:xfrm>
                          <a:off x="0" y="0"/>
                          <a:ext cx="2371725" cy="19050"/>
                        </a:xfrm>
                        <a:custGeom>
                          <a:avLst/>
                          <a:gdLst/>
                          <a:ahLst/>
                          <a:cxnLst/>
                          <a:rect l="l" t="t" r="r" b="b"/>
                          <a:pathLst>
                            <a:path w="2371725" h="19050">
                              <a:moveTo>
                                <a:pt x="2371657" y="0"/>
                              </a:moveTo>
                              <a:lnTo>
                                <a:pt x="0" y="0"/>
                              </a:lnTo>
                              <a:lnTo>
                                <a:pt x="0" y="18749"/>
                              </a:lnTo>
                              <a:lnTo>
                                <a:pt x="2371657" y="18749"/>
                              </a:lnTo>
                              <a:lnTo>
                                <a:pt x="2371657" y="0"/>
                              </a:lnTo>
                              <a:close/>
                            </a:path>
                          </a:pathLst>
                        </a:custGeom>
                        <a:solidFill>
                          <a:srgbClr val="010202"/>
                        </a:solidFill>
                      </wps:spPr>
                      <wps:bodyPr wrap="square" lIns="0" tIns="0" rIns="0" bIns="0" rtlCol="0">
                        <a:prstTxWarp prst="textNoShape">
                          <a:avLst/>
                        </a:prstTxWarp>
                        <a:noAutofit/>
                      </wps:bodyPr>
                    </wps:wsp>
                  </a:graphicData>
                </a:graphic>
              </wp:anchor>
            </w:drawing>
          </mc:Choice>
          <mc:Fallback>
            <w:pict>
              <v:rect style="position:absolute;margin-left:171.422394pt;margin-top:-.71975pt;width:186.7447pt;height:1.4763pt;mso-position-horizontal-relative:page;mso-position-vertical-relative:paragraph;z-index:15745024" id="docshape59" filled="true" fillcolor="#010202" stroked="false">
                <v:fill type="solid"/>
                <w10:wrap type="none"/>
              </v:rect>
            </w:pict>
          </mc:Fallback>
        </mc:AlternateContent>
      </w:r>
      <w:r>
        <w:rPr/>
        <mc:AlternateContent>
          <mc:Choice Requires="wps">
            <w:drawing>
              <wp:anchor distT="0" distB="0" distL="0" distR="0" allowOverlap="1" layoutInCell="1" locked="0" behindDoc="0" simplePos="0" relativeHeight="15745536">
                <wp:simplePos x="0" y="0"/>
                <wp:positionH relativeFrom="page">
                  <wp:posOffset>4548722</wp:posOffset>
                </wp:positionH>
                <wp:positionV relativeFrom="paragraph">
                  <wp:posOffset>-9140</wp:posOffset>
                </wp:positionV>
                <wp:extent cx="579755" cy="19050"/>
                <wp:effectExtent l="0" t="0" r="0" b="0"/>
                <wp:wrapNone/>
                <wp:docPr id="63" name="Graphic 63"/>
                <wp:cNvGraphicFramePr>
                  <a:graphicFrameLocks/>
                </wp:cNvGraphicFramePr>
                <a:graphic>
                  <a:graphicData uri="http://schemas.microsoft.com/office/word/2010/wordprocessingShape">
                    <wps:wsp>
                      <wps:cNvPr id="63" name="Graphic 63"/>
                      <wps:cNvSpPr/>
                      <wps:spPr>
                        <a:xfrm>
                          <a:off x="0" y="0"/>
                          <a:ext cx="579755" cy="19050"/>
                        </a:xfrm>
                        <a:custGeom>
                          <a:avLst/>
                          <a:gdLst/>
                          <a:ahLst/>
                          <a:cxnLst/>
                          <a:rect l="l" t="t" r="r" b="b"/>
                          <a:pathLst>
                            <a:path w="579755" h="19050">
                              <a:moveTo>
                                <a:pt x="579635" y="0"/>
                              </a:moveTo>
                              <a:lnTo>
                                <a:pt x="0" y="0"/>
                              </a:lnTo>
                              <a:lnTo>
                                <a:pt x="0" y="18749"/>
                              </a:lnTo>
                              <a:lnTo>
                                <a:pt x="579635" y="18749"/>
                              </a:lnTo>
                              <a:lnTo>
                                <a:pt x="579635" y="0"/>
                              </a:lnTo>
                              <a:close/>
                            </a:path>
                          </a:pathLst>
                        </a:custGeom>
                        <a:solidFill>
                          <a:srgbClr val="010202"/>
                        </a:solidFill>
                      </wps:spPr>
                      <wps:bodyPr wrap="square" lIns="0" tIns="0" rIns="0" bIns="0" rtlCol="0">
                        <a:prstTxWarp prst="textNoShape">
                          <a:avLst/>
                        </a:prstTxWarp>
                        <a:noAutofit/>
                      </wps:bodyPr>
                    </wps:wsp>
                  </a:graphicData>
                </a:graphic>
              </wp:anchor>
            </w:drawing>
          </mc:Choice>
          <mc:Fallback>
            <w:pict>
              <v:rect style="position:absolute;margin-left:358.167114pt;margin-top:-.71975pt;width:45.6406pt;height:1.4763pt;mso-position-horizontal-relative:page;mso-position-vertical-relative:paragraph;z-index:15745536" id="docshape60" filled="true" fillcolor="#010202" stroked="false">
                <v:fill type="solid"/>
                <w10:wrap type="none"/>
              </v:rect>
            </w:pict>
          </mc:Fallback>
        </mc:AlternateContent>
      </w:r>
      <w:r>
        <w:rPr>
          <w:color w:val="131313"/>
        </w:rPr>
        <w:t>In the context of the Readymade Garments Industry of Bangladesh, the multicollinearity, assessed through Variance Inflation Factor (VIF), suggests a potential issue with the independence</w:t>
      </w:r>
      <w:r>
        <w:rPr>
          <w:color w:val="131313"/>
          <w:spacing w:val="40"/>
        </w:rPr>
        <w:t> </w:t>
      </w:r>
      <w:r>
        <w:rPr>
          <w:color w:val="131313"/>
        </w:rPr>
        <w:t>of predictors</w:t>
      </w:r>
      <w:r>
        <w:rPr>
          <w:color w:val="131313"/>
          <w:spacing w:val="40"/>
        </w:rPr>
        <w:t> </w:t>
      </w:r>
      <w:r>
        <w:rPr>
          <w:color w:val="131313"/>
        </w:rPr>
        <w:t>in</w:t>
      </w:r>
      <w:r>
        <w:rPr>
          <w:color w:val="131313"/>
          <w:spacing w:val="40"/>
        </w:rPr>
        <w:t> </w:t>
      </w:r>
      <w:r>
        <w:rPr>
          <w:color w:val="131313"/>
        </w:rPr>
        <w:t>the structural</w:t>
      </w:r>
      <w:r>
        <w:rPr>
          <w:color w:val="131313"/>
          <w:spacing w:val="40"/>
        </w:rPr>
        <w:t> </w:t>
      </w:r>
      <w:r>
        <w:rPr>
          <w:color w:val="131313"/>
        </w:rPr>
        <w:t>model</w:t>
      </w:r>
      <w:r>
        <w:rPr>
          <w:color w:val="131313"/>
          <w:spacing w:val="40"/>
        </w:rPr>
        <w:t> </w:t>
      </w:r>
      <w:r>
        <w:rPr>
          <w:color w:val="131313"/>
        </w:rPr>
        <w:t>involving</w:t>
      </w:r>
      <w:r>
        <w:rPr>
          <w:color w:val="131313"/>
          <w:spacing w:val="40"/>
        </w:rPr>
        <w:t> </w:t>
      </w:r>
      <w:r>
        <w:rPr>
          <w:color w:val="131313"/>
        </w:rPr>
        <w:t>Training</w:t>
      </w:r>
      <w:r>
        <w:rPr>
          <w:color w:val="131313"/>
          <w:spacing w:val="40"/>
        </w:rPr>
        <w:t> </w:t>
      </w:r>
      <w:r>
        <w:rPr>
          <w:color w:val="131313"/>
        </w:rPr>
        <w:t>&amp; Development (T&amp;D), Training</w:t>
      </w:r>
      <w:r>
        <w:rPr>
          <w:color w:val="131313"/>
          <w:spacing w:val="40"/>
        </w:rPr>
        <w:t> </w:t>
      </w:r>
      <w:r>
        <w:rPr>
          <w:color w:val="131313"/>
        </w:rPr>
        <w:t>Motivation</w:t>
      </w:r>
      <w:r>
        <w:rPr>
          <w:color w:val="131313"/>
          <w:spacing w:val="40"/>
        </w:rPr>
        <w:t> </w:t>
      </w:r>
      <w:r>
        <w:rPr>
          <w:color w:val="131313"/>
        </w:rPr>
        <w:t>(TM), and Employee</w:t>
      </w:r>
      <w:r>
        <w:rPr>
          <w:color w:val="131313"/>
          <w:spacing w:val="40"/>
        </w:rPr>
        <w:t> </w:t>
      </w:r>
      <w:r>
        <w:rPr>
          <w:color w:val="131313"/>
        </w:rPr>
        <w:t>Productivity</w:t>
      </w:r>
      <w:r>
        <w:rPr>
          <w:color w:val="131313"/>
          <w:spacing w:val="40"/>
        </w:rPr>
        <w:t> </w:t>
      </w:r>
      <w:r>
        <w:rPr>
          <w:color w:val="131313"/>
        </w:rPr>
        <w:t>(EP).</w:t>
      </w:r>
      <w:r>
        <w:rPr>
          <w:color w:val="131313"/>
          <w:spacing w:val="40"/>
        </w:rPr>
        <w:t> </w:t>
      </w:r>
      <w:r>
        <w:rPr>
          <w:color w:val="131313"/>
        </w:rPr>
        <w:t>The VIF values for T&amp;D (VIF = 1.01) and</w:t>
      </w:r>
      <w:r>
        <w:rPr>
          <w:color w:val="131313"/>
          <w:spacing w:val="40"/>
        </w:rPr>
        <w:t> </w:t>
      </w:r>
      <w:r>
        <w:rPr>
          <w:color w:val="131313"/>
        </w:rPr>
        <w:t>TM (VIF = 1.01) exceeding</w:t>
      </w:r>
      <w:r>
        <w:rPr>
          <w:color w:val="131313"/>
          <w:spacing w:val="40"/>
        </w:rPr>
        <w:t> </w:t>
      </w:r>
      <w:r>
        <w:rPr>
          <w:color w:val="131313"/>
        </w:rPr>
        <w:t>the threshold</w:t>
      </w:r>
      <w:r>
        <w:rPr>
          <w:color w:val="131313"/>
          <w:spacing w:val="40"/>
        </w:rPr>
        <w:t> </w:t>
      </w:r>
      <w:r>
        <w:rPr>
          <w:color w:val="131313"/>
        </w:rPr>
        <w:t>of 1.00 indicate a high degree of</w:t>
      </w:r>
      <w:r>
        <w:rPr>
          <w:color w:val="131313"/>
          <w:spacing w:val="-4"/>
        </w:rPr>
        <w:t> </w:t>
      </w:r>
      <w:r>
        <w:rPr>
          <w:color w:val="131313"/>
        </w:rPr>
        <w:t>correlation between these predictors. Such high VIF values</w:t>
      </w:r>
      <w:r>
        <w:rPr>
          <w:color w:val="131313"/>
          <w:spacing w:val="-1"/>
        </w:rPr>
        <w:t> </w:t>
      </w:r>
      <w:r>
        <w:rPr>
          <w:color w:val="131313"/>
        </w:rPr>
        <w:t>suggest that there might be redundancy or overlap in the information provided by T&amp;D and TM when predicting EP, which could inflate the standard errors of the coefficients and potentially lead to inaccurate estimation of their effects (Bowerman &amp; O'Connell, 1990).</w:t>
      </w:r>
    </w:p>
    <w:p>
      <w:pPr>
        <w:pStyle w:val="ListParagraph"/>
        <w:numPr>
          <w:ilvl w:val="2"/>
          <w:numId w:val="1"/>
        </w:numPr>
        <w:tabs>
          <w:tab w:pos="802" w:val="left" w:leader="none"/>
        </w:tabs>
        <w:spacing w:line="240" w:lineRule="auto" w:before="114" w:after="0"/>
        <w:ind w:left="802" w:right="0" w:hanging="476"/>
        <w:jc w:val="both"/>
        <w:rPr>
          <w:i/>
          <w:color w:val="131313"/>
          <w:sz w:val="20"/>
        </w:rPr>
      </w:pPr>
      <w:r>
        <w:rPr>
          <w:i/>
          <w:color w:val="131313"/>
          <w:w w:val="105"/>
          <w:sz w:val="20"/>
        </w:rPr>
        <w:t>Assessment</w:t>
      </w:r>
      <w:r>
        <w:rPr>
          <w:i/>
          <w:color w:val="131313"/>
          <w:spacing w:val="5"/>
          <w:w w:val="105"/>
          <w:sz w:val="20"/>
        </w:rPr>
        <w:t> </w:t>
      </w:r>
      <w:r>
        <w:rPr>
          <w:i/>
          <w:color w:val="131313"/>
          <w:w w:val="105"/>
          <w:sz w:val="20"/>
        </w:rPr>
        <w:t>of</w:t>
      </w:r>
      <w:r>
        <w:rPr>
          <w:i/>
          <w:color w:val="131313"/>
          <w:spacing w:val="-1"/>
          <w:w w:val="105"/>
          <w:sz w:val="20"/>
        </w:rPr>
        <w:t> </w:t>
      </w:r>
      <w:r>
        <w:rPr>
          <w:i/>
          <w:color w:val="131313"/>
          <w:w w:val="105"/>
          <w:sz w:val="20"/>
        </w:rPr>
        <w:t>Path</w:t>
      </w:r>
      <w:r>
        <w:rPr>
          <w:i/>
          <w:color w:val="131313"/>
          <w:spacing w:val="2"/>
          <w:w w:val="105"/>
          <w:sz w:val="20"/>
        </w:rPr>
        <w:t> </w:t>
      </w:r>
      <w:r>
        <w:rPr>
          <w:i/>
          <w:color w:val="131313"/>
          <w:spacing w:val="-2"/>
          <w:w w:val="105"/>
          <w:sz w:val="20"/>
        </w:rPr>
        <w:t>Coefficient</w:t>
      </w:r>
    </w:p>
    <w:p>
      <w:pPr>
        <w:pStyle w:val="BodyText"/>
        <w:spacing w:line="290" w:lineRule="auto" w:before="155"/>
        <w:ind w:left="325" w:right="304" w:hanging="3"/>
        <w:jc w:val="both"/>
      </w:pPr>
      <w:r>
        <w:rPr>
          <w:color w:val="131313"/>
        </w:rPr>
        <w:t>The</w:t>
      </w:r>
      <w:r>
        <w:rPr>
          <w:color w:val="131313"/>
          <w:spacing w:val="40"/>
        </w:rPr>
        <w:t> </w:t>
      </w:r>
      <w:r>
        <w:rPr>
          <w:color w:val="131313"/>
        </w:rPr>
        <w:t>results</w:t>
      </w:r>
      <w:r>
        <w:rPr>
          <w:color w:val="131313"/>
          <w:spacing w:val="40"/>
        </w:rPr>
        <w:t> </w:t>
      </w:r>
      <w:r>
        <w:rPr>
          <w:color w:val="131313"/>
        </w:rPr>
        <w:t>of</w:t>
      </w:r>
      <w:r>
        <w:rPr>
          <w:color w:val="131313"/>
          <w:spacing w:val="40"/>
        </w:rPr>
        <w:t> </w:t>
      </w:r>
      <w:r>
        <w:rPr>
          <w:color w:val="131313"/>
        </w:rPr>
        <w:t>hypotheses</w:t>
      </w:r>
      <w:r>
        <w:rPr>
          <w:color w:val="131313"/>
          <w:spacing w:val="40"/>
        </w:rPr>
        <w:t> </w:t>
      </w:r>
      <w:r>
        <w:rPr>
          <w:color w:val="131313"/>
        </w:rPr>
        <w:t>testing</w:t>
      </w:r>
      <w:r>
        <w:rPr>
          <w:color w:val="131313"/>
          <w:spacing w:val="40"/>
        </w:rPr>
        <w:t> </w:t>
      </w:r>
      <w:r>
        <w:rPr>
          <w:color w:val="131313"/>
        </w:rPr>
        <w:t>in</w:t>
      </w:r>
      <w:r>
        <w:rPr>
          <w:color w:val="131313"/>
          <w:spacing w:val="40"/>
        </w:rPr>
        <w:t> </w:t>
      </w:r>
      <w:r>
        <w:rPr>
          <w:color w:val="131313"/>
        </w:rPr>
        <w:t>the</w:t>
      </w:r>
      <w:r>
        <w:rPr>
          <w:color w:val="131313"/>
          <w:spacing w:val="40"/>
        </w:rPr>
        <w:t> </w:t>
      </w:r>
      <w:r>
        <w:rPr>
          <w:color w:val="131313"/>
        </w:rPr>
        <w:t>Readymade</w:t>
      </w:r>
      <w:r>
        <w:rPr>
          <w:color w:val="131313"/>
          <w:spacing w:val="40"/>
        </w:rPr>
        <w:t> </w:t>
      </w:r>
      <w:r>
        <w:rPr>
          <w:color w:val="131313"/>
        </w:rPr>
        <w:t>Garments</w:t>
      </w:r>
      <w:r>
        <w:rPr>
          <w:color w:val="131313"/>
          <w:spacing w:val="40"/>
        </w:rPr>
        <w:t> </w:t>
      </w:r>
      <w:r>
        <w:rPr>
          <w:color w:val="131313"/>
        </w:rPr>
        <w:t>Industry</w:t>
      </w:r>
      <w:r>
        <w:rPr>
          <w:color w:val="131313"/>
          <w:spacing w:val="40"/>
        </w:rPr>
        <w:t> </w:t>
      </w:r>
      <w:r>
        <w:rPr>
          <w:color w:val="131313"/>
        </w:rPr>
        <w:t>of</w:t>
      </w:r>
      <w:r>
        <w:rPr>
          <w:color w:val="131313"/>
          <w:spacing w:val="40"/>
        </w:rPr>
        <w:t> </w:t>
      </w:r>
      <w:r>
        <w:rPr>
          <w:color w:val="131313"/>
        </w:rPr>
        <w:t>Bangladesh indicate significant support for all proposed relationships. Hypothesis 1 (Hl), which posited a positive</w:t>
      </w:r>
      <w:r>
        <w:rPr>
          <w:color w:val="131313"/>
          <w:spacing w:val="40"/>
        </w:rPr>
        <w:t> </w:t>
      </w:r>
      <w:r>
        <w:rPr>
          <w:color w:val="131313"/>
        </w:rPr>
        <w:t>association</w:t>
      </w:r>
      <w:r>
        <w:rPr>
          <w:color w:val="131313"/>
          <w:spacing w:val="40"/>
        </w:rPr>
        <w:t> </w:t>
      </w:r>
      <w:r>
        <w:rPr>
          <w:color w:val="131313"/>
        </w:rPr>
        <w:t>between</w:t>
      </w:r>
      <w:r>
        <w:rPr>
          <w:color w:val="131313"/>
          <w:spacing w:val="40"/>
        </w:rPr>
        <w:t> </w:t>
      </w:r>
      <w:r>
        <w:rPr>
          <w:color w:val="131313"/>
        </w:rPr>
        <w:t>Training</w:t>
      </w:r>
      <w:r>
        <w:rPr>
          <w:color w:val="131313"/>
          <w:spacing w:val="40"/>
        </w:rPr>
        <w:t> </w:t>
      </w:r>
      <w:r>
        <w:rPr>
          <w:color w:val="131313"/>
        </w:rPr>
        <w:t>&amp;</w:t>
      </w:r>
      <w:r>
        <w:rPr>
          <w:color w:val="131313"/>
          <w:spacing w:val="35"/>
        </w:rPr>
        <w:t> </w:t>
      </w:r>
      <w:r>
        <w:rPr>
          <w:color w:val="131313"/>
        </w:rPr>
        <w:t>Development</w:t>
      </w:r>
      <w:r>
        <w:rPr>
          <w:color w:val="131313"/>
          <w:spacing w:val="40"/>
        </w:rPr>
        <w:t> </w:t>
      </w:r>
      <w:r>
        <w:rPr>
          <w:color w:val="131313"/>
        </w:rPr>
        <w:t>(T&amp;D)</w:t>
      </w:r>
      <w:r>
        <w:rPr>
          <w:color w:val="131313"/>
          <w:spacing w:val="36"/>
        </w:rPr>
        <w:t> </w:t>
      </w:r>
      <w:r>
        <w:rPr>
          <w:color w:val="131313"/>
        </w:rPr>
        <w:t>and</w:t>
      </w:r>
      <w:r>
        <w:rPr>
          <w:color w:val="131313"/>
          <w:spacing w:val="40"/>
        </w:rPr>
        <w:t> </w:t>
      </w:r>
      <w:r>
        <w:rPr>
          <w:color w:val="131313"/>
        </w:rPr>
        <w:t>Employee</w:t>
      </w:r>
      <w:r>
        <w:rPr>
          <w:color w:val="131313"/>
          <w:spacing w:val="40"/>
        </w:rPr>
        <w:t> </w:t>
      </w:r>
      <w:r>
        <w:rPr>
          <w:color w:val="131313"/>
        </w:rPr>
        <w:t>Productivity</w:t>
      </w:r>
    </w:p>
    <w:p>
      <w:pPr>
        <w:pStyle w:val="BodyText"/>
      </w:pPr>
    </w:p>
    <w:p>
      <w:pPr>
        <w:pStyle w:val="BodyText"/>
      </w:pPr>
    </w:p>
    <w:p>
      <w:pPr>
        <w:pStyle w:val="BodyText"/>
        <w:spacing w:before="219"/>
      </w:pPr>
    </w:p>
    <w:p>
      <w:pPr>
        <w:spacing w:before="0"/>
        <w:ind w:left="854" w:right="823" w:firstLine="0"/>
        <w:jc w:val="center"/>
        <w:rPr>
          <w:sz w:val="17"/>
        </w:rPr>
      </w:pPr>
      <w:r>
        <w:rPr>
          <w:color w:val="3B3838"/>
          <w:spacing w:val="-5"/>
          <w:w w:val="105"/>
          <w:sz w:val="17"/>
        </w:rPr>
        <w:t>71</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72" w:id="16"/>
      <w:bookmarkEnd w:id="16"/>
      <w:r>
        <w:rPr/>
      </w:r>
      <w:r>
        <w:rPr>
          <w:i/>
          <w:color w:val="3B3838"/>
          <w:sz w:val="18"/>
        </w:rPr>
        <w:t>Mahbub</w:t>
      </w:r>
      <w:r>
        <w:rPr>
          <w:i/>
          <w:color w:val="565454"/>
          <w:sz w:val="18"/>
        </w:rPr>
        <w:t>/</w:t>
      </w:r>
      <w:r>
        <w:rPr>
          <w:i/>
          <w:color w:val="3B3838"/>
          <w:sz w:val="18"/>
        </w:rPr>
        <w:t>Comilla</w:t>
      </w:r>
      <w:r>
        <w:rPr>
          <w:i/>
          <w:color w:val="3B3838"/>
          <w:spacing w:val="-12"/>
          <w:sz w:val="18"/>
        </w:rPr>
        <w:t> </w:t>
      </w:r>
      <w:r>
        <w:rPr>
          <w:i/>
          <w:color w:val="3B3838"/>
          <w:sz w:val="18"/>
        </w:rPr>
        <w:t>Un</w:t>
      </w:r>
      <w:r>
        <w:rPr>
          <w:i/>
          <w:color w:val="111313"/>
          <w:sz w:val="18"/>
        </w:rPr>
        <w:t>i</w:t>
      </w:r>
      <w:r>
        <w:rPr>
          <w:i/>
          <w:color w:val="3B3838"/>
          <w:sz w:val="18"/>
        </w:rPr>
        <w:t>versity</w:t>
      </w:r>
      <w:r>
        <w:rPr>
          <w:i/>
          <w:color w:val="3B3838"/>
          <w:spacing w:val="-11"/>
          <w:sz w:val="18"/>
        </w:rPr>
        <w:t> </w:t>
      </w:r>
      <w:r>
        <w:rPr>
          <w:i/>
          <w:color w:val="3B3838"/>
          <w:sz w:val="18"/>
        </w:rPr>
        <w:t>Journal</w:t>
      </w:r>
      <w:r>
        <w:rPr>
          <w:i/>
          <w:color w:val="3B3838"/>
          <w:spacing w:val="-6"/>
          <w:sz w:val="18"/>
        </w:rPr>
        <w:t> </w:t>
      </w:r>
      <w:r>
        <w:rPr>
          <w:i/>
          <w:color w:val="3B3838"/>
          <w:sz w:val="18"/>
        </w:rPr>
        <w:t>of</w:t>
      </w:r>
      <w:r>
        <w:rPr>
          <w:i/>
          <w:color w:val="3B3838"/>
          <w:spacing w:val="-5"/>
          <w:sz w:val="18"/>
        </w:rPr>
        <w:t> </w:t>
      </w:r>
      <w:r>
        <w:rPr>
          <w:i/>
          <w:color w:val="3B3838"/>
          <w:sz w:val="18"/>
        </w:rPr>
        <w:t>Business</w:t>
      </w:r>
      <w:r>
        <w:rPr>
          <w:i/>
          <w:color w:val="3B3838"/>
          <w:spacing w:val="-2"/>
          <w:sz w:val="18"/>
        </w:rPr>
        <w:t> </w:t>
      </w:r>
      <w:r>
        <w:rPr>
          <w:i/>
          <w:color w:val="3B3838"/>
          <w:sz w:val="18"/>
        </w:rPr>
        <w:t>Studies</w:t>
      </w:r>
      <w:r>
        <w:rPr>
          <w:i/>
          <w:color w:val="3B3838"/>
          <w:spacing w:val="51"/>
          <w:sz w:val="18"/>
        </w:rPr>
        <w:t> </w:t>
      </w:r>
      <w:r>
        <w:rPr>
          <w:i/>
          <w:color w:val="111313"/>
          <w:sz w:val="18"/>
        </w:rPr>
        <w:t>IO</w:t>
      </w:r>
      <w:r>
        <w:rPr>
          <w:i/>
          <w:color w:val="111313"/>
          <w:spacing w:val="-11"/>
          <w:sz w:val="18"/>
        </w:rPr>
        <w:t> </w:t>
      </w:r>
      <w:r>
        <w:rPr>
          <w:i/>
          <w:color w:val="3B3838"/>
          <w:sz w:val="18"/>
        </w:rPr>
        <w:t>(2023)</w:t>
      </w:r>
      <w:r>
        <w:rPr>
          <w:i/>
          <w:color w:val="3B3838"/>
          <w:spacing w:val="-9"/>
          <w:sz w:val="18"/>
        </w:rPr>
        <w:t> </w:t>
      </w:r>
      <w:r>
        <w:rPr>
          <w:i/>
          <w:color w:val="3B3838"/>
          <w:sz w:val="18"/>
        </w:rPr>
        <w:t>5</w:t>
      </w:r>
      <w:r>
        <w:rPr>
          <w:color w:val="3B3838"/>
          <w:sz w:val="18"/>
        </w:rPr>
        <w:t>7</w:t>
      </w:r>
      <w:r>
        <w:rPr>
          <w:color w:val="111313"/>
          <w:sz w:val="18"/>
        </w:rPr>
        <w:t>-</w:t>
      </w:r>
      <w:r>
        <w:rPr>
          <w:i/>
          <w:color w:val="3B3838"/>
          <w:spacing w:val="-7"/>
          <w:sz w:val="18"/>
        </w:rPr>
        <w:t>77</w:t>
      </w:r>
    </w:p>
    <w:p>
      <w:pPr>
        <w:pStyle w:val="BodyText"/>
        <w:spacing w:before="149"/>
        <w:rPr>
          <w:i/>
          <w:sz w:val="18"/>
        </w:rPr>
      </w:pPr>
    </w:p>
    <w:p>
      <w:pPr>
        <w:pStyle w:val="BodyText"/>
        <w:spacing w:line="290" w:lineRule="auto"/>
        <w:ind w:left="321" w:right="299" w:hanging="1"/>
        <w:jc w:val="both"/>
      </w:pPr>
      <w:r>
        <w:rPr>
          <w:color w:val="111313"/>
        </w:rPr>
        <w:t>(EP), received</w:t>
      </w:r>
      <w:r>
        <w:rPr>
          <w:color w:val="111313"/>
          <w:spacing w:val="40"/>
        </w:rPr>
        <w:t> </w:t>
      </w:r>
      <w:r>
        <w:rPr>
          <w:color w:val="111313"/>
        </w:rPr>
        <w:t>strong support(� = 0.582</w:t>
      </w:r>
      <w:r>
        <w:rPr>
          <w:color w:val="3B3838"/>
        </w:rPr>
        <w:t>, </w:t>
      </w:r>
      <w:r>
        <w:rPr>
          <w:color w:val="010101"/>
        </w:rPr>
        <w:t>T </w:t>
      </w:r>
      <w:r>
        <w:rPr>
          <w:color w:val="111313"/>
        </w:rPr>
        <w:t>= 18.95, p = 0.000)</w:t>
      </w:r>
      <w:r>
        <w:rPr>
          <w:color w:val="3B3838"/>
        </w:rPr>
        <w:t>, </w:t>
      </w:r>
      <w:r>
        <w:rPr>
          <w:color w:val="111313"/>
        </w:rPr>
        <w:t>confirming</w:t>
      </w:r>
      <w:r>
        <w:rPr>
          <w:color w:val="111313"/>
          <w:spacing w:val="40"/>
        </w:rPr>
        <w:t> </w:t>
      </w:r>
      <w:r>
        <w:rPr>
          <w:color w:val="111313"/>
        </w:rPr>
        <w:t>that </w:t>
      </w:r>
      <w:r>
        <w:rPr>
          <w:color w:val="111313"/>
        </w:rPr>
        <w:t>effective T&amp;D initiatives enhance EP outcomes. Hypothesis 2 (H2)</w:t>
      </w:r>
      <w:r>
        <w:rPr>
          <w:color w:val="3B3838"/>
        </w:rPr>
        <w:t>, </w:t>
      </w:r>
      <w:r>
        <w:rPr>
          <w:color w:val="111313"/>
        </w:rPr>
        <w:t>suggesting a positive relationship </w:t>
      </w:r>
      <w:r>
        <w:rPr>
          <w:color w:val="010101"/>
        </w:rPr>
        <w:t>between </w:t>
      </w:r>
      <w:r>
        <w:rPr>
          <w:color w:val="111313"/>
        </w:rPr>
        <w:t>T&amp;D and Training Motivation (TM), was also supported(�= 0.101, T = 2.114, p = 0.035), indicating that T&amp;D efforts positively influence employees' motivation to engage in training</w:t>
      </w:r>
      <w:r>
        <w:rPr>
          <w:color w:val="111313"/>
          <w:spacing w:val="35"/>
        </w:rPr>
        <w:t> </w:t>
      </w:r>
      <w:r>
        <w:rPr>
          <w:color w:val="111313"/>
        </w:rPr>
        <w:t>activities.</w:t>
      </w:r>
      <w:r>
        <w:rPr>
          <w:color w:val="111313"/>
          <w:spacing w:val="36"/>
        </w:rPr>
        <w:t> </w:t>
      </w:r>
      <w:r>
        <w:rPr>
          <w:color w:val="111313"/>
        </w:rPr>
        <w:t>Furthermore,</w:t>
      </w:r>
      <w:r>
        <w:rPr>
          <w:color w:val="111313"/>
          <w:spacing w:val="40"/>
        </w:rPr>
        <w:t> </w:t>
      </w:r>
      <w:r>
        <w:rPr>
          <w:color w:val="111313"/>
        </w:rPr>
        <w:t>Hypothesis</w:t>
      </w:r>
      <w:r>
        <w:rPr>
          <w:color w:val="111313"/>
          <w:spacing w:val="37"/>
        </w:rPr>
        <w:t> </w:t>
      </w:r>
      <w:r>
        <w:rPr>
          <w:color w:val="111313"/>
        </w:rPr>
        <w:t>3 (H3), proposing</w:t>
      </w:r>
      <w:r>
        <w:rPr>
          <w:color w:val="111313"/>
          <w:spacing w:val="37"/>
        </w:rPr>
        <w:t> </w:t>
      </w:r>
      <w:r>
        <w:rPr>
          <w:color w:val="111313"/>
        </w:rPr>
        <w:t>a positive</w:t>
      </w:r>
      <w:r>
        <w:rPr>
          <w:color w:val="111313"/>
          <w:spacing w:val="40"/>
        </w:rPr>
        <w:t> </w:t>
      </w:r>
      <w:r>
        <w:rPr>
          <w:color w:val="111313"/>
        </w:rPr>
        <w:t>link</w:t>
      </w:r>
      <w:r>
        <w:rPr>
          <w:color w:val="111313"/>
          <w:spacing w:val="40"/>
        </w:rPr>
        <w:t> </w:t>
      </w:r>
      <w:r>
        <w:rPr>
          <w:color w:val="010101"/>
        </w:rPr>
        <w:t>between</w:t>
      </w:r>
      <w:r>
        <w:rPr>
          <w:color w:val="010101"/>
          <w:spacing w:val="40"/>
        </w:rPr>
        <w:t> </w:t>
      </w:r>
      <w:r>
        <w:rPr>
          <w:color w:val="111313"/>
        </w:rPr>
        <w:t>TM and</w:t>
      </w:r>
      <w:r>
        <w:rPr>
          <w:color w:val="111313"/>
          <w:spacing w:val="17"/>
        </w:rPr>
        <w:t> </w:t>
      </w:r>
      <w:r>
        <w:rPr>
          <w:color w:val="111313"/>
        </w:rPr>
        <w:t>EP,</w:t>
      </w:r>
      <w:r>
        <w:rPr>
          <w:color w:val="111313"/>
          <w:spacing w:val="19"/>
        </w:rPr>
        <w:t> </w:t>
      </w:r>
      <w:r>
        <w:rPr>
          <w:color w:val="010101"/>
        </w:rPr>
        <w:t>received</w:t>
      </w:r>
      <w:r>
        <w:rPr>
          <w:color w:val="010101"/>
          <w:spacing w:val="28"/>
        </w:rPr>
        <w:t> </w:t>
      </w:r>
      <w:r>
        <w:rPr>
          <w:color w:val="111313"/>
        </w:rPr>
        <w:t>significant</w:t>
      </w:r>
      <w:r>
        <w:rPr>
          <w:color w:val="111313"/>
          <w:spacing w:val="33"/>
        </w:rPr>
        <w:t> </w:t>
      </w:r>
      <w:r>
        <w:rPr>
          <w:color w:val="111313"/>
        </w:rPr>
        <w:t>support(�=</w:t>
      </w:r>
      <w:r>
        <w:rPr>
          <w:color w:val="111313"/>
          <w:spacing w:val="30"/>
        </w:rPr>
        <w:t> </w:t>
      </w:r>
      <w:r>
        <w:rPr>
          <w:color w:val="111313"/>
        </w:rPr>
        <w:t>0.092,</w:t>
      </w:r>
      <w:r>
        <w:rPr>
          <w:color w:val="111313"/>
          <w:spacing w:val="21"/>
        </w:rPr>
        <w:t> </w:t>
      </w:r>
      <w:r>
        <w:rPr>
          <w:color w:val="111313"/>
        </w:rPr>
        <w:t>T = 2.305,</w:t>
      </w:r>
      <w:r>
        <w:rPr>
          <w:color w:val="111313"/>
          <w:spacing w:val="20"/>
        </w:rPr>
        <w:t> </w:t>
      </w:r>
      <w:r>
        <w:rPr>
          <w:color w:val="111313"/>
        </w:rPr>
        <w:t>p</w:t>
      </w:r>
      <w:r>
        <w:rPr>
          <w:color w:val="111313"/>
          <w:spacing w:val="17"/>
        </w:rPr>
        <w:t> </w:t>
      </w:r>
      <w:r>
        <w:rPr>
          <w:color w:val="111313"/>
        </w:rPr>
        <w:t>= 0.021),</w:t>
      </w:r>
      <w:r>
        <w:rPr>
          <w:color w:val="111313"/>
          <w:spacing w:val="22"/>
        </w:rPr>
        <w:t> </w:t>
      </w:r>
      <w:r>
        <w:rPr>
          <w:color w:val="010101"/>
        </w:rPr>
        <w:t>highlighting</w:t>
      </w:r>
      <w:r>
        <w:rPr>
          <w:color w:val="010101"/>
          <w:spacing w:val="30"/>
        </w:rPr>
        <w:t> </w:t>
      </w:r>
      <w:r>
        <w:rPr>
          <w:color w:val="111313"/>
        </w:rPr>
        <w:t>the role of training motivation as a mediator in enhancing EP. These findings underscore the importance of T&amp;D programs in fostering </w:t>
      </w:r>
      <w:r>
        <w:rPr>
          <w:color w:val="010101"/>
        </w:rPr>
        <w:t>both </w:t>
      </w:r>
      <w:r>
        <w:rPr>
          <w:color w:val="111313"/>
        </w:rPr>
        <w:t>training motivation and ultimately, employee productivity within the Readymade Garments Industry of Bangladesh. The results provide empirical</w:t>
      </w:r>
      <w:r>
        <w:rPr>
          <w:color w:val="111313"/>
          <w:spacing w:val="40"/>
        </w:rPr>
        <w:t> </w:t>
      </w:r>
      <w:r>
        <w:rPr>
          <w:color w:val="111313"/>
        </w:rPr>
        <w:t>support</w:t>
      </w:r>
      <w:r>
        <w:rPr>
          <w:color w:val="111313"/>
          <w:spacing w:val="40"/>
        </w:rPr>
        <w:t> </w:t>
      </w:r>
      <w:r>
        <w:rPr>
          <w:color w:val="111313"/>
        </w:rPr>
        <w:t>for</w:t>
      </w:r>
      <w:r>
        <w:rPr>
          <w:color w:val="111313"/>
          <w:spacing w:val="40"/>
        </w:rPr>
        <w:t> </w:t>
      </w:r>
      <w:r>
        <w:rPr>
          <w:color w:val="111313"/>
        </w:rPr>
        <w:t>theoretical</w:t>
      </w:r>
      <w:r>
        <w:rPr>
          <w:color w:val="111313"/>
          <w:spacing w:val="40"/>
        </w:rPr>
        <w:t> </w:t>
      </w:r>
      <w:r>
        <w:rPr>
          <w:color w:val="111313"/>
        </w:rPr>
        <w:t>frameworks</w:t>
      </w:r>
      <w:r>
        <w:rPr>
          <w:color w:val="111313"/>
          <w:spacing w:val="40"/>
        </w:rPr>
        <w:t> </w:t>
      </w:r>
      <w:r>
        <w:rPr>
          <w:color w:val="111313"/>
        </w:rPr>
        <w:t>such</w:t>
      </w:r>
      <w:r>
        <w:rPr>
          <w:color w:val="111313"/>
          <w:spacing w:val="40"/>
        </w:rPr>
        <w:t> </w:t>
      </w:r>
      <w:r>
        <w:rPr>
          <w:color w:val="111313"/>
        </w:rPr>
        <w:t>as</w:t>
      </w:r>
      <w:r>
        <w:rPr>
          <w:color w:val="111313"/>
          <w:spacing w:val="40"/>
        </w:rPr>
        <w:t> </w:t>
      </w:r>
      <w:r>
        <w:rPr>
          <w:color w:val="111313"/>
        </w:rPr>
        <w:t>expectancy</w:t>
      </w:r>
      <w:r>
        <w:rPr>
          <w:color w:val="111313"/>
          <w:spacing w:val="40"/>
        </w:rPr>
        <w:t> </w:t>
      </w:r>
      <w:r>
        <w:rPr>
          <w:color w:val="111313"/>
        </w:rPr>
        <w:t>theory</w:t>
      </w:r>
      <w:r>
        <w:rPr>
          <w:color w:val="111313"/>
          <w:spacing w:val="40"/>
        </w:rPr>
        <w:t> </w:t>
      </w:r>
      <w:r>
        <w:rPr>
          <w:color w:val="111313"/>
        </w:rPr>
        <w:t>and</w:t>
      </w:r>
      <w:r>
        <w:rPr>
          <w:color w:val="111313"/>
          <w:spacing w:val="40"/>
        </w:rPr>
        <w:t> </w:t>
      </w:r>
      <w:r>
        <w:rPr>
          <w:color w:val="111313"/>
        </w:rPr>
        <w:t>self-determination theory</w:t>
      </w:r>
      <w:r>
        <w:rPr>
          <w:color w:val="3B3838"/>
        </w:rPr>
        <w:t>, </w:t>
      </w:r>
      <w:r>
        <w:rPr>
          <w:color w:val="111313"/>
        </w:rPr>
        <w:t>highlighting the significance of motivational factors in shaping the effectiveness of T&amp;D interventions and their impact on organizational outcomes.</w:t>
      </w:r>
    </w:p>
    <w:p>
      <w:pPr>
        <w:spacing w:before="113"/>
        <w:ind w:left="2620" w:right="0" w:firstLine="0"/>
        <w:jc w:val="both"/>
        <w:rPr>
          <w:sz w:val="21"/>
        </w:rPr>
      </w:pPr>
      <w:r>
        <w:rPr>
          <w:b/>
          <w:color w:val="111313"/>
          <w:sz w:val="20"/>
        </w:rPr>
        <w:t>Table</w:t>
      </w:r>
      <w:r>
        <w:rPr>
          <w:b/>
          <w:color w:val="111313"/>
          <w:spacing w:val="6"/>
          <w:sz w:val="20"/>
        </w:rPr>
        <w:t> </w:t>
      </w:r>
      <w:r>
        <w:rPr>
          <w:b/>
          <w:color w:val="010101"/>
          <w:sz w:val="20"/>
        </w:rPr>
        <w:t>8:</w:t>
      </w:r>
      <w:r>
        <w:rPr>
          <w:b/>
          <w:color w:val="010101"/>
          <w:spacing w:val="67"/>
          <w:sz w:val="20"/>
        </w:rPr>
        <w:t> </w:t>
      </w:r>
      <w:r>
        <w:rPr>
          <w:color w:val="111313"/>
          <w:sz w:val="21"/>
        </w:rPr>
        <w:t>Result</w:t>
      </w:r>
      <w:r>
        <w:rPr>
          <w:color w:val="111313"/>
          <w:spacing w:val="7"/>
          <w:sz w:val="21"/>
        </w:rPr>
        <w:t> </w:t>
      </w:r>
      <w:r>
        <w:rPr>
          <w:color w:val="111313"/>
          <w:sz w:val="21"/>
        </w:rPr>
        <w:t>of</w:t>
      </w:r>
      <w:r>
        <w:rPr>
          <w:color w:val="111313"/>
          <w:spacing w:val="8"/>
          <w:sz w:val="21"/>
        </w:rPr>
        <w:t> </w:t>
      </w:r>
      <w:r>
        <w:rPr>
          <w:color w:val="111313"/>
          <w:sz w:val="21"/>
        </w:rPr>
        <w:t>the</w:t>
      </w:r>
      <w:r>
        <w:rPr>
          <w:color w:val="111313"/>
          <w:spacing w:val="2"/>
          <w:sz w:val="21"/>
        </w:rPr>
        <w:t> </w:t>
      </w:r>
      <w:r>
        <w:rPr>
          <w:color w:val="111313"/>
          <w:sz w:val="21"/>
        </w:rPr>
        <w:t>Hypotheses</w:t>
      </w:r>
      <w:r>
        <w:rPr>
          <w:color w:val="111313"/>
          <w:spacing w:val="15"/>
          <w:sz w:val="21"/>
        </w:rPr>
        <w:t> </w:t>
      </w:r>
      <w:r>
        <w:rPr>
          <w:color w:val="111313"/>
          <w:spacing w:val="-4"/>
          <w:sz w:val="21"/>
        </w:rPr>
        <w:t>Test</w:t>
      </w:r>
    </w:p>
    <w:p>
      <w:pPr>
        <w:tabs>
          <w:tab w:pos="2045" w:val="left" w:leader="none"/>
          <w:tab w:pos="4355" w:val="left" w:leader="none"/>
          <w:tab w:pos="5992" w:val="left" w:leader="none"/>
          <w:tab w:pos="7288" w:val="left" w:leader="none"/>
        </w:tabs>
        <w:spacing w:line="266" w:lineRule="auto" w:before="219" w:after="27"/>
        <w:ind w:left="4263" w:right="597" w:hanging="3790"/>
        <w:jc w:val="left"/>
        <w:rPr>
          <w:b/>
          <w:sz w:val="20"/>
        </w:rPr>
      </w:pPr>
      <w:r>
        <w:rPr>
          <w:b/>
          <w:sz w:val="20"/>
        </w:rPr>
        <mc:AlternateContent>
          <mc:Choice Requires="wps">
            <w:drawing>
              <wp:anchor distT="0" distB="0" distL="0" distR="0" allowOverlap="1" layoutInCell="1" locked="0" behindDoc="0" simplePos="0" relativeHeight="15746048">
                <wp:simplePos x="0" y="0"/>
                <wp:positionH relativeFrom="page">
                  <wp:posOffset>1117561</wp:posOffset>
                </wp:positionH>
                <wp:positionV relativeFrom="paragraph">
                  <wp:posOffset>109330</wp:posOffset>
                </wp:positionV>
                <wp:extent cx="5076190" cy="191135"/>
                <wp:effectExtent l="0" t="0" r="0" b="0"/>
                <wp:wrapNone/>
                <wp:docPr id="64" name="Group 64"/>
                <wp:cNvGraphicFramePr>
                  <a:graphicFrameLocks/>
                </wp:cNvGraphicFramePr>
                <a:graphic>
                  <a:graphicData uri="http://schemas.microsoft.com/office/word/2010/wordprocessingGroup">
                    <wpg:wgp>
                      <wpg:cNvPr id="64" name="Group 64"/>
                      <wpg:cNvGrpSpPr/>
                      <wpg:grpSpPr>
                        <a:xfrm>
                          <a:off x="0" y="0"/>
                          <a:ext cx="5076190" cy="191135"/>
                          <a:chExt cx="5076190" cy="191135"/>
                        </a:xfrm>
                      </wpg:grpSpPr>
                      <wps:wsp>
                        <wps:cNvPr id="65" name="Graphic 65"/>
                        <wps:cNvSpPr/>
                        <wps:spPr>
                          <a:xfrm>
                            <a:off x="1951384" y="31244"/>
                            <a:ext cx="70485" cy="159385"/>
                          </a:xfrm>
                          <a:custGeom>
                            <a:avLst/>
                            <a:gdLst/>
                            <a:ahLst/>
                            <a:cxnLst/>
                            <a:rect l="l" t="t" r="r" b="b"/>
                            <a:pathLst>
                              <a:path w="70485" h="159385">
                                <a:moveTo>
                                  <a:pt x="70308" y="0"/>
                                </a:moveTo>
                                <a:lnTo>
                                  <a:pt x="0" y="0"/>
                                </a:lnTo>
                                <a:lnTo>
                                  <a:pt x="0" y="159360"/>
                                </a:lnTo>
                                <a:lnTo>
                                  <a:pt x="70308" y="159360"/>
                                </a:lnTo>
                                <a:lnTo>
                                  <a:pt x="70308" y="0"/>
                                </a:lnTo>
                                <a:close/>
                              </a:path>
                            </a:pathLst>
                          </a:custGeom>
                          <a:solidFill>
                            <a:srgbClr val="F7F8F9"/>
                          </a:solidFill>
                        </wps:spPr>
                        <wps:bodyPr wrap="square" lIns="0" tIns="0" rIns="0" bIns="0" rtlCol="0">
                          <a:prstTxWarp prst="textNoShape">
                            <a:avLst/>
                          </a:prstTxWarp>
                          <a:noAutofit/>
                        </wps:bodyPr>
                      </wps:wsp>
                      <wps:wsp>
                        <wps:cNvPr id="66" name="Graphic 66"/>
                        <wps:cNvSpPr/>
                        <wps:spPr>
                          <a:xfrm>
                            <a:off x="0" y="0"/>
                            <a:ext cx="5076190" cy="189865"/>
                          </a:xfrm>
                          <a:custGeom>
                            <a:avLst/>
                            <a:gdLst/>
                            <a:ahLst/>
                            <a:cxnLst/>
                            <a:rect l="l" t="t" r="r" b="b"/>
                            <a:pathLst>
                              <a:path w="5076190" h="189865">
                                <a:moveTo>
                                  <a:pt x="2017344" y="134607"/>
                                </a:moveTo>
                                <a:lnTo>
                                  <a:pt x="2016252" y="125869"/>
                                </a:lnTo>
                                <a:lnTo>
                                  <a:pt x="2012962" y="118389"/>
                                </a:lnTo>
                                <a:lnTo>
                                  <a:pt x="2007476" y="112179"/>
                                </a:lnTo>
                                <a:lnTo>
                                  <a:pt x="2003679" y="109740"/>
                                </a:lnTo>
                                <a:lnTo>
                                  <a:pt x="1999792" y="107226"/>
                                </a:lnTo>
                                <a:lnTo>
                                  <a:pt x="2004161" y="105181"/>
                                </a:lnTo>
                                <a:lnTo>
                                  <a:pt x="2009076" y="102870"/>
                                </a:lnTo>
                                <a:lnTo>
                                  <a:pt x="2013724" y="96901"/>
                                </a:lnTo>
                                <a:lnTo>
                                  <a:pt x="2013724" y="83616"/>
                                </a:lnTo>
                                <a:lnTo>
                                  <a:pt x="2011565" y="79082"/>
                                </a:lnTo>
                                <a:lnTo>
                                  <a:pt x="2011476" y="78892"/>
                                </a:lnTo>
                                <a:lnTo>
                                  <a:pt x="2005190" y="73583"/>
                                </a:lnTo>
                                <a:lnTo>
                                  <a:pt x="2002497" y="71323"/>
                                </a:lnTo>
                                <a:lnTo>
                                  <a:pt x="1998941" y="70307"/>
                                </a:lnTo>
                                <a:lnTo>
                                  <a:pt x="1998941" y="119964"/>
                                </a:lnTo>
                                <a:lnTo>
                                  <a:pt x="1998941" y="140322"/>
                                </a:lnTo>
                                <a:lnTo>
                                  <a:pt x="1998052" y="146977"/>
                                </a:lnTo>
                                <a:lnTo>
                                  <a:pt x="1996109" y="151091"/>
                                </a:lnTo>
                                <a:lnTo>
                                  <a:pt x="1994331" y="154660"/>
                                </a:lnTo>
                                <a:lnTo>
                                  <a:pt x="1991728" y="156438"/>
                                </a:lnTo>
                                <a:lnTo>
                                  <a:pt x="1984476" y="156438"/>
                                </a:lnTo>
                                <a:lnTo>
                                  <a:pt x="1981454" y="154660"/>
                                </a:lnTo>
                                <a:lnTo>
                                  <a:pt x="1978952" y="151091"/>
                                </a:lnTo>
                                <a:lnTo>
                                  <a:pt x="1978977" y="83616"/>
                                </a:lnTo>
                                <a:lnTo>
                                  <a:pt x="1979498" y="79413"/>
                                </a:lnTo>
                                <a:lnTo>
                                  <a:pt x="1979536" y="79082"/>
                                </a:lnTo>
                                <a:lnTo>
                                  <a:pt x="1981835" y="74752"/>
                                </a:lnTo>
                                <a:lnTo>
                                  <a:pt x="1983943" y="73583"/>
                                </a:lnTo>
                                <a:lnTo>
                                  <a:pt x="1990496" y="73583"/>
                                </a:lnTo>
                                <a:lnTo>
                                  <a:pt x="1992922" y="74752"/>
                                </a:lnTo>
                                <a:lnTo>
                                  <a:pt x="1995462" y="79413"/>
                                </a:lnTo>
                                <a:lnTo>
                                  <a:pt x="1996071" y="83616"/>
                                </a:lnTo>
                                <a:lnTo>
                                  <a:pt x="1996071" y="96901"/>
                                </a:lnTo>
                                <a:lnTo>
                                  <a:pt x="1995449" y="101574"/>
                                </a:lnTo>
                                <a:lnTo>
                                  <a:pt x="1994192" y="104990"/>
                                </a:lnTo>
                                <a:lnTo>
                                  <a:pt x="1994128" y="105181"/>
                                </a:lnTo>
                                <a:lnTo>
                                  <a:pt x="1992325" y="104216"/>
                                </a:lnTo>
                                <a:lnTo>
                                  <a:pt x="1990318" y="103733"/>
                                </a:lnTo>
                                <a:lnTo>
                                  <a:pt x="1984565" y="103733"/>
                                </a:lnTo>
                                <a:lnTo>
                                  <a:pt x="1982787" y="104990"/>
                                </a:lnTo>
                                <a:lnTo>
                                  <a:pt x="1982787" y="110045"/>
                                </a:lnTo>
                                <a:lnTo>
                                  <a:pt x="1984603" y="111315"/>
                                </a:lnTo>
                                <a:lnTo>
                                  <a:pt x="1990280" y="111315"/>
                                </a:lnTo>
                                <a:lnTo>
                                  <a:pt x="1992236" y="110794"/>
                                </a:lnTo>
                                <a:lnTo>
                                  <a:pt x="1994128" y="109740"/>
                                </a:lnTo>
                                <a:lnTo>
                                  <a:pt x="1997341" y="112941"/>
                                </a:lnTo>
                                <a:lnTo>
                                  <a:pt x="1998941" y="119964"/>
                                </a:lnTo>
                                <a:lnTo>
                                  <a:pt x="1998941" y="70307"/>
                                </a:lnTo>
                                <a:lnTo>
                                  <a:pt x="1995906" y="69430"/>
                                </a:lnTo>
                                <a:lnTo>
                                  <a:pt x="1980336" y="69430"/>
                                </a:lnTo>
                                <a:lnTo>
                                  <a:pt x="1960460" y="176237"/>
                                </a:lnTo>
                                <a:lnTo>
                                  <a:pt x="1959724" y="183667"/>
                                </a:lnTo>
                                <a:lnTo>
                                  <a:pt x="1959686" y="184061"/>
                                </a:lnTo>
                                <a:lnTo>
                                  <a:pt x="1958111" y="189814"/>
                                </a:lnTo>
                                <a:lnTo>
                                  <a:pt x="1976450" y="189814"/>
                                </a:lnTo>
                                <a:lnTo>
                                  <a:pt x="1978012" y="184061"/>
                                </a:lnTo>
                                <a:lnTo>
                                  <a:pt x="1978113" y="183667"/>
                                </a:lnTo>
                                <a:lnTo>
                                  <a:pt x="1978952" y="176237"/>
                                </a:lnTo>
                                <a:lnTo>
                                  <a:pt x="1978952" y="157568"/>
                                </a:lnTo>
                                <a:lnTo>
                                  <a:pt x="1983397" y="161036"/>
                                </a:lnTo>
                                <a:lnTo>
                                  <a:pt x="1987969" y="162775"/>
                                </a:lnTo>
                                <a:lnTo>
                                  <a:pt x="2000326" y="162775"/>
                                </a:lnTo>
                                <a:lnTo>
                                  <a:pt x="2006346" y="159994"/>
                                </a:lnTo>
                                <a:lnTo>
                                  <a:pt x="2008263" y="157568"/>
                                </a:lnTo>
                                <a:lnTo>
                                  <a:pt x="2009152" y="156438"/>
                                </a:lnTo>
                                <a:lnTo>
                                  <a:pt x="2015147" y="148869"/>
                                </a:lnTo>
                                <a:lnTo>
                                  <a:pt x="2017344" y="142265"/>
                                </a:lnTo>
                                <a:lnTo>
                                  <a:pt x="2017344" y="134607"/>
                                </a:lnTo>
                                <a:close/>
                              </a:path>
                              <a:path w="5076190" h="189865">
                                <a:moveTo>
                                  <a:pt x="5076101" y="0"/>
                                </a:moveTo>
                                <a:lnTo>
                                  <a:pt x="4260545" y="0"/>
                                </a:lnTo>
                                <a:lnTo>
                                  <a:pt x="0" y="0"/>
                                </a:lnTo>
                                <a:lnTo>
                                  <a:pt x="0" y="12496"/>
                                </a:lnTo>
                                <a:lnTo>
                                  <a:pt x="4260545" y="12496"/>
                                </a:lnTo>
                                <a:lnTo>
                                  <a:pt x="5076101" y="12496"/>
                                </a:lnTo>
                                <a:lnTo>
                                  <a:pt x="5076101" y="0"/>
                                </a:lnTo>
                                <a:close/>
                              </a:path>
                            </a:pathLst>
                          </a:custGeom>
                          <a:solidFill>
                            <a:srgbClr val="010202"/>
                          </a:solidFill>
                        </wps:spPr>
                        <wps:bodyPr wrap="square" lIns="0" tIns="0" rIns="0" bIns="0" rtlCol="0">
                          <a:prstTxWarp prst="textNoShape">
                            <a:avLst/>
                          </a:prstTxWarp>
                          <a:noAutofit/>
                        </wps:bodyPr>
                      </wps:wsp>
                    </wpg:wgp>
                  </a:graphicData>
                </a:graphic>
              </wp:anchor>
            </w:drawing>
          </mc:Choice>
          <mc:Fallback>
            <w:pict>
              <v:group style="position:absolute;margin-left:87.997002pt;margin-top:8.608672pt;width:399.7pt;height:15.05pt;mso-position-horizontal-relative:page;mso-position-vertical-relative:paragraph;z-index:15746048" id="docshapegroup61" coordorigin="1760,172" coordsize="7994,301">
                <v:rect style="position:absolute;left:4832;top:221;width:111;height:251" id="docshape62" filled="true" fillcolor="#f7f8f9" stroked="false">
                  <v:fill type="solid"/>
                </v:rect>
                <v:shape style="position:absolute;left:1759;top:172;width:7994;height:299" id="docshape63" coordorigin="1760,172" coordsize="7994,299" path="m4937,384l4935,370,4930,359,4921,349,4915,345,4909,341,4916,338,4924,334,4931,325,4931,304,4928,297,4928,296,4918,288,4913,284,4908,283,4908,361,4908,393,4906,404,4903,410,4901,416,4897,419,4885,419,4880,416,4876,410,4876,304,4877,297,4877,297,4881,290,4884,288,4895,288,4898,290,4902,297,4903,304,4903,325,4902,332,4900,338,4900,338,4897,336,4894,336,4885,336,4882,338,4882,345,4885,347,4894,347,4897,347,4900,345,4905,350,4908,361,4908,283,4903,282,4879,282,4870,283,4857,291,4853,295,4848,307,4847,316,4847,450,4846,461,4846,462,4844,471,4872,471,4875,462,4875,461,4876,450,4876,420,4883,426,4891,429,4910,429,4920,424,4923,420,4924,419,4933,407,4937,396,4937,384xm9754,172l8469,172,1760,172,1760,192,8469,192,9754,192,9754,172xe" filled="true" fillcolor="#010202" stroked="false">
                  <v:path arrowok="t"/>
                  <v:fill type="solid"/>
                </v:shape>
                <w10:wrap type="none"/>
              </v:group>
            </w:pict>
          </mc:Fallback>
        </mc:AlternateContent>
      </w:r>
      <w:r>
        <w:rPr>
          <w:b/>
          <w:color w:val="111313"/>
          <w:spacing w:val="-2"/>
          <w:w w:val="105"/>
          <w:sz w:val="20"/>
        </w:rPr>
        <w:t>Hypotheses</w:t>
      </w:r>
      <w:r>
        <w:rPr>
          <w:b/>
          <w:color w:val="111313"/>
          <w:sz w:val="20"/>
        </w:rPr>
        <w:tab/>
      </w:r>
      <w:r>
        <w:rPr>
          <w:b/>
          <w:color w:val="111313"/>
          <w:spacing w:val="-2"/>
          <w:w w:val="105"/>
          <w:sz w:val="20"/>
        </w:rPr>
        <w:t>Paths</w:t>
      </w:r>
      <w:r>
        <w:rPr>
          <w:b/>
          <w:color w:val="111313"/>
          <w:sz w:val="20"/>
        </w:rPr>
        <w:tab/>
        <w:tab/>
      </w:r>
      <w:r>
        <w:rPr>
          <w:b/>
          <w:color w:val="111313"/>
          <w:w w:val="105"/>
          <w:sz w:val="20"/>
        </w:rPr>
        <w:t>T statistics</w:t>
      </w:r>
      <w:r>
        <w:rPr>
          <w:b/>
          <w:color w:val="111313"/>
          <w:sz w:val="20"/>
        </w:rPr>
        <w:tab/>
      </w:r>
      <w:r>
        <w:rPr>
          <w:b/>
          <w:color w:val="111313"/>
          <w:w w:val="105"/>
          <w:sz w:val="20"/>
        </w:rPr>
        <w:t>P values</w:t>
      </w:r>
      <w:r>
        <w:rPr>
          <w:b/>
          <w:color w:val="111313"/>
          <w:sz w:val="20"/>
        </w:rPr>
        <w:tab/>
      </w:r>
      <w:r>
        <w:rPr>
          <w:b/>
          <w:color w:val="010101"/>
          <w:spacing w:val="-2"/>
          <w:w w:val="105"/>
          <w:sz w:val="20"/>
        </w:rPr>
        <w:t>Decision </w:t>
      </w:r>
      <w:r>
        <w:rPr>
          <w:b/>
          <w:color w:val="111313"/>
          <w:spacing w:val="-2"/>
          <w:w w:val="105"/>
          <w:sz w:val="20"/>
        </w:rPr>
        <w:t>(10/STDEVI)</w:t>
      </w:r>
    </w:p>
    <w:tbl>
      <w:tblPr>
        <w:tblW w:w="0" w:type="auto"/>
        <w:jc w:val="left"/>
        <w:tblInd w:w="3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304"/>
        <w:gridCol w:w="1369"/>
        <w:gridCol w:w="2634"/>
        <w:gridCol w:w="1308"/>
        <w:gridCol w:w="1392"/>
      </w:tblGrid>
      <w:tr>
        <w:trPr>
          <w:trHeight w:val="300" w:hRule="atLeast"/>
        </w:trPr>
        <w:tc>
          <w:tcPr>
            <w:tcW w:w="1304" w:type="dxa"/>
            <w:tcBorders>
              <w:top w:val="single" w:sz="8" w:space="0" w:color="010202"/>
              <w:right w:val="single" w:sz="48" w:space="0" w:color="FFFFFF"/>
            </w:tcBorders>
          </w:tcPr>
          <w:p>
            <w:pPr>
              <w:pStyle w:val="TableParagraph"/>
              <w:spacing w:before="29"/>
              <w:ind w:left="134" w:right="56"/>
              <w:jc w:val="center"/>
              <w:rPr>
                <w:b/>
                <w:sz w:val="20"/>
              </w:rPr>
            </w:pPr>
            <w:r>
              <w:rPr>
                <w:b/>
                <w:sz w:val="20"/>
              </w:rPr>
              <mc:AlternateContent>
                <mc:Choice Requires="wps">
                  <w:drawing>
                    <wp:anchor distT="0" distB="0" distL="0" distR="0" allowOverlap="1" layoutInCell="1" locked="0" behindDoc="1" simplePos="0" relativeHeight="487089664">
                      <wp:simplePos x="0" y="0"/>
                      <wp:positionH relativeFrom="column">
                        <wp:posOffset>74994</wp:posOffset>
                      </wp:positionH>
                      <wp:positionV relativeFrom="paragraph">
                        <wp:posOffset>197</wp:posOffset>
                      </wp:positionV>
                      <wp:extent cx="720725" cy="203200"/>
                      <wp:effectExtent l="0" t="0" r="0" b="0"/>
                      <wp:wrapNone/>
                      <wp:docPr id="67" name="Group 67"/>
                      <wp:cNvGraphicFramePr>
                        <a:graphicFrameLocks/>
                      </wp:cNvGraphicFramePr>
                      <a:graphic>
                        <a:graphicData uri="http://schemas.microsoft.com/office/word/2010/wordprocessingGroup">
                          <wpg:wgp>
                            <wpg:cNvPr id="67" name="Group 67"/>
                            <wpg:cNvGrpSpPr/>
                            <wpg:grpSpPr>
                              <a:xfrm>
                                <a:off x="0" y="0"/>
                                <a:ext cx="720725" cy="203200"/>
                                <a:chExt cx="720725" cy="203200"/>
                              </a:xfrm>
                            </wpg:grpSpPr>
                            <wps:wsp>
                              <wps:cNvPr id="68" name="Graphic 68"/>
                              <wps:cNvSpPr/>
                              <wps:spPr>
                                <a:xfrm>
                                  <a:off x="0" y="0"/>
                                  <a:ext cx="720725" cy="203200"/>
                                </a:xfrm>
                                <a:custGeom>
                                  <a:avLst/>
                                  <a:gdLst/>
                                  <a:ahLst/>
                                  <a:cxnLst/>
                                  <a:rect l="l" t="t" r="r" b="b"/>
                                  <a:pathLst>
                                    <a:path w="720725" h="203200">
                                      <a:moveTo>
                                        <a:pt x="720248" y="0"/>
                                      </a:moveTo>
                                      <a:lnTo>
                                        <a:pt x="0" y="0"/>
                                      </a:lnTo>
                                      <a:lnTo>
                                        <a:pt x="0" y="203104"/>
                                      </a:lnTo>
                                      <a:lnTo>
                                        <a:pt x="720248" y="203104"/>
                                      </a:lnTo>
                                      <a:lnTo>
                                        <a:pt x="720248" y="0"/>
                                      </a:lnTo>
                                      <a:close/>
                                    </a:path>
                                  </a:pathLst>
                                </a:custGeom>
                                <a:solidFill>
                                  <a:srgbClr val="E5EDD4"/>
                                </a:solidFill>
                              </wps:spPr>
                              <wps:bodyPr wrap="square" lIns="0" tIns="0" rIns="0" bIns="0" rtlCol="0">
                                <a:prstTxWarp prst="textNoShape">
                                  <a:avLst/>
                                </a:prstTxWarp>
                                <a:noAutofit/>
                              </wps:bodyPr>
                            </wps:wsp>
                          </wpg:wgp>
                        </a:graphicData>
                      </a:graphic>
                    </wp:anchor>
                  </w:drawing>
                </mc:Choice>
                <mc:Fallback>
                  <w:pict>
                    <v:group style="position:absolute;margin-left:5.9051pt;margin-top:.015544pt;width:56.75pt;height:16pt;mso-position-horizontal-relative:column;mso-position-vertical-relative:paragraph;z-index:-16226816" id="docshapegroup64" coordorigin="118,0" coordsize="1135,320">
                      <v:rect style="position:absolute;left:118;top:0;width:1135;height:320" id="docshape65" filled="true" fillcolor="#e5edd4" stroked="false">
                        <v:fill type="solid"/>
                      </v:rect>
                      <w10:wrap type="none"/>
                    </v:group>
                  </w:pict>
                </mc:Fallback>
              </mc:AlternateContent>
            </w:r>
            <w:r>
              <w:rPr>
                <w:b/>
                <w:color w:val="111313"/>
                <w:spacing w:val="-5"/>
                <w:sz w:val="20"/>
              </w:rPr>
              <w:t>Hl</w:t>
            </w:r>
          </w:p>
        </w:tc>
        <w:tc>
          <w:tcPr>
            <w:tcW w:w="1369" w:type="dxa"/>
            <w:tcBorders>
              <w:top w:val="single" w:sz="8" w:space="0" w:color="010202"/>
              <w:left w:val="single" w:sz="48" w:space="0" w:color="FFFFFF"/>
              <w:right w:val="single" w:sz="48" w:space="0" w:color="FFFFFF"/>
            </w:tcBorders>
          </w:tcPr>
          <w:p>
            <w:pPr>
              <w:pStyle w:val="TableParagraph"/>
              <w:spacing w:before="11"/>
              <w:ind w:left="101"/>
              <w:rPr>
                <w:sz w:val="21"/>
              </w:rPr>
            </w:pPr>
            <w:r>
              <w:rPr>
                <w:sz w:val="21"/>
              </w:rPr>
              <mc:AlternateContent>
                <mc:Choice Requires="wps">
                  <w:drawing>
                    <wp:anchor distT="0" distB="0" distL="0" distR="0" allowOverlap="1" layoutInCell="1" locked="0" behindDoc="1" simplePos="0" relativeHeight="487090176">
                      <wp:simplePos x="0" y="0"/>
                      <wp:positionH relativeFrom="column">
                        <wp:posOffset>32808</wp:posOffset>
                      </wp:positionH>
                      <wp:positionV relativeFrom="paragraph">
                        <wp:posOffset>799</wp:posOffset>
                      </wp:positionV>
                      <wp:extent cx="803275" cy="203200"/>
                      <wp:effectExtent l="0" t="0" r="0" b="0"/>
                      <wp:wrapNone/>
                      <wp:docPr id="69" name="Group 69"/>
                      <wp:cNvGraphicFramePr>
                        <a:graphicFrameLocks/>
                      </wp:cNvGraphicFramePr>
                      <a:graphic>
                        <a:graphicData uri="http://schemas.microsoft.com/office/word/2010/wordprocessingGroup">
                          <wpg:wgp>
                            <wpg:cNvPr id="69" name="Group 69"/>
                            <wpg:cNvGrpSpPr/>
                            <wpg:grpSpPr>
                              <a:xfrm>
                                <a:off x="0" y="0"/>
                                <a:ext cx="803275" cy="203200"/>
                                <a:chExt cx="803275" cy="203200"/>
                              </a:xfrm>
                            </wpg:grpSpPr>
                            <wps:wsp>
                              <wps:cNvPr id="70" name="Graphic 70"/>
                              <wps:cNvSpPr/>
                              <wps:spPr>
                                <a:xfrm>
                                  <a:off x="-2" y="0"/>
                                  <a:ext cx="803275" cy="203200"/>
                                </a:xfrm>
                                <a:custGeom>
                                  <a:avLst/>
                                  <a:gdLst/>
                                  <a:ahLst/>
                                  <a:cxnLst/>
                                  <a:rect l="l" t="t" r="r" b="b"/>
                                  <a:pathLst>
                                    <a:path w="803275" h="203200">
                                      <a:moveTo>
                                        <a:pt x="803046" y="0"/>
                                      </a:moveTo>
                                      <a:lnTo>
                                        <a:pt x="737425" y="0"/>
                                      </a:lnTo>
                                      <a:lnTo>
                                        <a:pt x="67170" y="0"/>
                                      </a:lnTo>
                                      <a:lnTo>
                                        <a:pt x="0" y="0"/>
                                      </a:lnTo>
                                      <a:lnTo>
                                        <a:pt x="0" y="203111"/>
                                      </a:lnTo>
                                      <a:lnTo>
                                        <a:pt x="67170" y="203111"/>
                                      </a:lnTo>
                                      <a:lnTo>
                                        <a:pt x="737425" y="203111"/>
                                      </a:lnTo>
                                      <a:lnTo>
                                        <a:pt x="803046" y="203111"/>
                                      </a:lnTo>
                                      <a:lnTo>
                                        <a:pt x="803046" y="0"/>
                                      </a:lnTo>
                                      <a:close/>
                                    </a:path>
                                  </a:pathLst>
                                </a:custGeom>
                                <a:solidFill>
                                  <a:srgbClr val="E5EDD4"/>
                                </a:solidFill>
                              </wps:spPr>
                              <wps:bodyPr wrap="square" lIns="0" tIns="0" rIns="0" bIns="0" rtlCol="0">
                                <a:prstTxWarp prst="textNoShape">
                                  <a:avLst/>
                                </a:prstTxWarp>
                                <a:noAutofit/>
                              </wps:bodyPr>
                            </wps:wsp>
                          </wpg:wgp>
                        </a:graphicData>
                      </a:graphic>
                    </wp:anchor>
                  </w:drawing>
                </mc:Choice>
                <mc:Fallback>
                  <w:pict>
                    <v:group style="position:absolute;margin-left:2.583350pt;margin-top:.062932pt;width:63.25pt;height:16pt;mso-position-horizontal-relative:column;mso-position-vertical-relative:paragraph;z-index:-16226304" id="docshapegroup66" coordorigin="52,1" coordsize="1265,320">
                      <v:shape style="position:absolute;left:51;top:1;width:1265;height:320" id="docshape67" coordorigin="52,1" coordsize="1265,320" path="m1316,1l1213,1,157,1,52,1,52,321,157,321,1213,321,1316,321,1316,1xe" filled="true" fillcolor="#e5edd4" stroked="false">
                        <v:path arrowok="t"/>
                        <v:fill type="solid"/>
                      </v:shape>
                      <w10:wrap type="none"/>
                    </v:group>
                  </w:pict>
                </mc:Fallback>
              </mc:AlternateContent>
            </w:r>
            <w:r>
              <w:rPr>
                <w:color w:val="111313"/>
                <w:w w:val="110"/>
                <w:sz w:val="21"/>
              </w:rPr>
              <w:t>TD-</w:t>
            </w:r>
            <w:r>
              <w:rPr>
                <w:color w:val="3B3838"/>
                <w:w w:val="110"/>
                <w:sz w:val="21"/>
              </w:rPr>
              <w:t>&gt;</w:t>
            </w:r>
            <w:r>
              <w:rPr>
                <w:color w:val="3B3838"/>
                <w:spacing w:val="8"/>
                <w:w w:val="110"/>
                <w:sz w:val="21"/>
              </w:rPr>
              <w:t> </w:t>
            </w:r>
            <w:r>
              <w:rPr>
                <w:color w:val="111313"/>
                <w:spacing w:val="-5"/>
                <w:w w:val="110"/>
                <w:sz w:val="21"/>
              </w:rPr>
              <w:t>EP</w:t>
            </w:r>
          </w:p>
        </w:tc>
        <w:tc>
          <w:tcPr>
            <w:tcW w:w="2634" w:type="dxa"/>
            <w:tcBorders>
              <w:top w:val="single" w:sz="8" w:space="0" w:color="010202"/>
              <w:left w:val="single" w:sz="48" w:space="0" w:color="FFFFFF"/>
            </w:tcBorders>
          </w:tcPr>
          <w:p>
            <w:pPr>
              <w:pStyle w:val="TableParagraph"/>
              <w:tabs>
                <w:tab w:pos="1574" w:val="left" w:leader="none"/>
              </w:tabs>
              <w:spacing w:before="15"/>
              <w:ind w:left="178"/>
              <w:rPr>
                <w:sz w:val="21"/>
              </w:rPr>
            </w:pPr>
            <w:r>
              <w:rPr>
                <w:sz w:val="21"/>
              </w:rPr>
              <mc:AlternateContent>
                <mc:Choice Requires="wps">
                  <w:drawing>
                    <wp:anchor distT="0" distB="0" distL="0" distR="0" allowOverlap="1" layoutInCell="1" locked="0" behindDoc="1" simplePos="0" relativeHeight="487090688">
                      <wp:simplePos x="0" y="0"/>
                      <wp:positionH relativeFrom="column">
                        <wp:posOffset>33589</wp:posOffset>
                      </wp:positionH>
                      <wp:positionV relativeFrom="paragraph">
                        <wp:posOffset>287</wp:posOffset>
                      </wp:positionV>
                      <wp:extent cx="530225" cy="203200"/>
                      <wp:effectExtent l="0" t="0" r="0" b="0"/>
                      <wp:wrapNone/>
                      <wp:docPr id="71" name="Group 71"/>
                      <wp:cNvGraphicFramePr>
                        <a:graphicFrameLocks/>
                      </wp:cNvGraphicFramePr>
                      <a:graphic>
                        <a:graphicData uri="http://schemas.microsoft.com/office/word/2010/wordprocessingGroup">
                          <wpg:wgp>
                            <wpg:cNvPr id="71" name="Group 71"/>
                            <wpg:cNvGrpSpPr/>
                            <wpg:grpSpPr>
                              <a:xfrm>
                                <a:off x="0" y="0"/>
                                <a:ext cx="530225" cy="203200"/>
                                <a:chExt cx="530225" cy="203200"/>
                              </a:xfrm>
                            </wpg:grpSpPr>
                            <wps:wsp>
                              <wps:cNvPr id="72" name="Graphic 72"/>
                              <wps:cNvSpPr/>
                              <wps:spPr>
                                <a:xfrm>
                                  <a:off x="0" y="0"/>
                                  <a:ext cx="530225" cy="203200"/>
                                </a:xfrm>
                                <a:custGeom>
                                  <a:avLst/>
                                  <a:gdLst/>
                                  <a:ahLst/>
                                  <a:cxnLst/>
                                  <a:rect l="l" t="t" r="r" b="b"/>
                                  <a:pathLst>
                                    <a:path w="530225" h="203200">
                                      <a:moveTo>
                                        <a:pt x="529639" y="0"/>
                                      </a:moveTo>
                                      <a:lnTo>
                                        <a:pt x="0" y="0"/>
                                      </a:lnTo>
                                      <a:lnTo>
                                        <a:pt x="0" y="203104"/>
                                      </a:lnTo>
                                      <a:lnTo>
                                        <a:pt x="529639" y="203104"/>
                                      </a:lnTo>
                                      <a:lnTo>
                                        <a:pt x="529639" y="0"/>
                                      </a:lnTo>
                                      <a:close/>
                                    </a:path>
                                  </a:pathLst>
                                </a:custGeom>
                                <a:solidFill>
                                  <a:srgbClr val="E5EDD4"/>
                                </a:solidFill>
                              </wps:spPr>
                              <wps:bodyPr wrap="square" lIns="0" tIns="0" rIns="0" bIns="0" rtlCol="0">
                                <a:prstTxWarp prst="textNoShape">
                                  <a:avLst/>
                                </a:prstTxWarp>
                                <a:noAutofit/>
                              </wps:bodyPr>
                            </wps:wsp>
                          </wpg:wgp>
                        </a:graphicData>
                      </a:graphic>
                    </wp:anchor>
                  </w:drawing>
                </mc:Choice>
                <mc:Fallback>
                  <w:pict>
                    <v:group style="position:absolute;margin-left:2.64485pt;margin-top:.022636pt;width:41.75pt;height:16pt;mso-position-horizontal-relative:column;mso-position-vertical-relative:paragraph;z-index:-16225792" id="docshapegroup68" coordorigin="53,0" coordsize="835,320">
                      <v:rect style="position:absolute;left:52;top:0;width:835;height:320" id="docshape69" filled="true" fillcolor="#e5edd4" stroked="false">
                        <v:fill type="solid"/>
                      </v:rect>
                      <w10:wrap type="none"/>
                    </v:group>
                  </w:pict>
                </mc:Fallback>
              </mc:AlternateContent>
            </w:r>
            <w:r>
              <w:rPr>
                <w:sz w:val="21"/>
              </w:rPr>
              <mc:AlternateContent>
                <mc:Choice Requires="wps">
                  <w:drawing>
                    <wp:anchor distT="0" distB="0" distL="0" distR="0" allowOverlap="1" layoutInCell="1" locked="0" behindDoc="1" simplePos="0" relativeHeight="487091200">
                      <wp:simplePos x="0" y="0"/>
                      <wp:positionH relativeFrom="column">
                        <wp:posOffset>694467</wp:posOffset>
                      </wp:positionH>
                      <wp:positionV relativeFrom="paragraph">
                        <wp:posOffset>287</wp:posOffset>
                      </wp:positionV>
                      <wp:extent cx="972185" cy="203200"/>
                      <wp:effectExtent l="0" t="0" r="0" b="0"/>
                      <wp:wrapNone/>
                      <wp:docPr id="73" name="Group 73"/>
                      <wp:cNvGraphicFramePr>
                        <a:graphicFrameLocks/>
                      </wp:cNvGraphicFramePr>
                      <a:graphic>
                        <a:graphicData uri="http://schemas.microsoft.com/office/word/2010/wordprocessingGroup">
                          <wpg:wgp>
                            <wpg:cNvPr id="73" name="Group 73"/>
                            <wpg:cNvGrpSpPr/>
                            <wpg:grpSpPr>
                              <a:xfrm>
                                <a:off x="0" y="0"/>
                                <a:ext cx="972185" cy="203200"/>
                                <a:chExt cx="972185" cy="203200"/>
                              </a:xfrm>
                            </wpg:grpSpPr>
                            <wps:wsp>
                              <wps:cNvPr id="74" name="Graphic 74"/>
                              <wps:cNvSpPr/>
                              <wps:spPr>
                                <a:xfrm>
                                  <a:off x="0" y="0"/>
                                  <a:ext cx="972185" cy="203200"/>
                                </a:xfrm>
                                <a:custGeom>
                                  <a:avLst/>
                                  <a:gdLst/>
                                  <a:ahLst/>
                                  <a:cxnLst/>
                                  <a:rect l="l" t="t" r="r" b="b"/>
                                  <a:pathLst>
                                    <a:path w="972185" h="203200">
                                      <a:moveTo>
                                        <a:pt x="971791" y="0"/>
                                      </a:moveTo>
                                      <a:lnTo>
                                        <a:pt x="0" y="0"/>
                                      </a:lnTo>
                                      <a:lnTo>
                                        <a:pt x="0" y="203104"/>
                                      </a:lnTo>
                                      <a:lnTo>
                                        <a:pt x="971791" y="203104"/>
                                      </a:lnTo>
                                      <a:lnTo>
                                        <a:pt x="971791" y="0"/>
                                      </a:lnTo>
                                      <a:close/>
                                    </a:path>
                                  </a:pathLst>
                                </a:custGeom>
                                <a:solidFill>
                                  <a:srgbClr val="E5EDD4"/>
                                </a:solidFill>
                              </wps:spPr>
                              <wps:bodyPr wrap="square" lIns="0" tIns="0" rIns="0" bIns="0" rtlCol="0">
                                <a:prstTxWarp prst="textNoShape">
                                  <a:avLst/>
                                </a:prstTxWarp>
                                <a:noAutofit/>
                              </wps:bodyPr>
                            </wps:wsp>
                          </wpg:wgp>
                        </a:graphicData>
                      </a:graphic>
                    </wp:anchor>
                  </w:drawing>
                </mc:Choice>
                <mc:Fallback>
                  <w:pict>
                    <v:group style="position:absolute;margin-left:54.682449pt;margin-top:.022636pt;width:76.55pt;height:16pt;mso-position-horizontal-relative:column;mso-position-vertical-relative:paragraph;z-index:-16225280" id="docshapegroup70" coordorigin="1094,0" coordsize="1531,320">
                      <v:rect style="position:absolute;left:1093;top:0;width:1531;height:320" id="docshape71" filled="true" fillcolor="#e5edd4" stroked="false">
                        <v:fill type="solid"/>
                      </v:rect>
                      <w10:wrap type="none"/>
                    </v:group>
                  </w:pict>
                </mc:Fallback>
              </mc:AlternateContent>
            </w:r>
            <w:r>
              <w:rPr>
                <w:color w:val="111313"/>
                <w:spacing w:val="-2"/>
                <w:sz w:val="21"/>
              </w:rPr>
              <w:t>0.582</w:t>
            </w:r>
            <w:r>
              <w:rPr>
                <w:color w:val="111313"/>
                <w:sz w:val="21"/>
              </w:rPr>
              <w:tab/>
            </w:r>
            <w:r>
              <w:rPr>
                <w:color w:val="111313"/>
                <w:spacing w:val="-2"/>
                <w:sz w:val="21"/>
              </w:rPr>
              <w:t>18</w:t>
            </w:r>
            <w:r>
              <w:rPr>
                <w:color w:val="3B3838"/>
                <w:spacing w:val="-2"/>
                <w:sz w:val="21"/>
              </w:rPr>
              <w:t>.</w:t>
            </w:r>
            <w:r>
              <w:rPr>
                <w:color w:val="111313"/>
                <w:spacing w:val="-2"/>
                <w:sz w:val="21"/>
              </w:rPr>
              <w:t>95</w:t>
            </w:r>
          </w:p>
        </w:tc>
        <w:tc>
          <w:tcPr>
            <w:tcW w:w="1308" w:type="dxa"/>
            <w:tcBorders>
              <w:top w:val="single" w:sz="8" w:space="0" w:color="010202"/>
            </w:tcBorders>
          </w:tcPr>
          <w:p>
            <w:pPr>
              <w:pStyle w:val="TableParagraph"/>
              <w:spacing w:before="15"/>
              <w:ind w:right="310"/>
              <w:jc w:val="right"/>
              <w:rPr>
                <w:sz w:val="21"/>
              </w:rPr>
            </w:pPr>
            <w:r>
              <w:rPr>
                <w:sz w:val="21"/>
              </w:rPr>
              <mc:AlternateContent>
                <mc:Choice Requires="wps">
                  <w:drawing>
                    <wp:anchor distT="0" distB="0" distL="0" distR="0" allowOverlap="1" layoutInCell="1" locked="0" behindDoc="1" simplePos="0" relativeHeight="487091712">
                      <wp:simplePos x="0" y="0"/>
                      <wp:positionH relativeFrom="column">
                        <wp:posOffset>126126</wp:posOffset>
                      </wp:positionH>
                      <wp:positionV relativeFrom="paragraph">
                        <wp:posOffset>287</wp:posOffset>
                      </wp:positionV>
                      <wp:extent cx="694055" cy="203200"/>
                      <wp:effectExtent l="0" t="0" r="0" b="0"/>
                      <wp:wrapNone/>
                      <wp:docPr id="75" name="Group 75"/>
                      <wp:cNvGraphicFramePr>
                        <a:graphicFrameLocks/>
                      </wp:cNvGraphicFramePr>
                      <a:graphic>
                        <a:graphicData uri="http://schemas.microsoft.com/office/word/2010/wordprocessingGroup">
                          <wpg:wgp>
                            <wpg:cNvPr id="75" name="Group 75"/>
                            <wpg:cNvGrpSpPr/>
                            <wpg:grpSpPr>
                              <a:xfrm>
                                <a:off x="0" y="0"/>
                                <a:ext cx="694055" cy="203200"/>
                                <a:chExt cx="694055" cy="203200"/>
                              </a:xfrm>
                            </wpg:grpSpPr>
                            <wps:wsp>
                              <wps:cNvPr id="76" name="Graphic 76"/>
                              <wps:cNvSpPr/>
                              <wps:spPr>
                                <a:xfrm>
                                  <a:off x="0" y="0"/>
                                  <a:ext cx="694055" cy="203200"/>
                                </a:xfrm>
                                <a:custGeom>
                                  <a:avLst/>
                                  <a:gdLst/>
                                  <a:ahLst/>
                                  <a:cxnLst/>
                                  <a:rect l="l" t="t" r="r" b="b"/>
                                  <a:pathLst>
                                    <a:path w="694055" h="203200">
                                      <a:moveTo>
                                        <a:pt x="693684" y="0"/>
                                      </a:moveTo>
                                      <a:lnTo>
                                        <a:pt x="0" y="0"/>
                                      </a:lnTo>
                                      <a:lnTo>
                                        <a:pt x="0" y="203104"/>
                                      </a:lnTo>
                                      <a:lnTo>
                                        <a:pt x="693684" y="203104"/>
                                      </a:lnTo>
                                      <a:lnTo>
                                        <a:pt x="693684" y="0"/>
                                      </a:lnTo>
                                      <a:close/>
                                    </a:path>
                                  </a:pathLst>
                                </a:custGeom>
                                <a:solidFill>
                                  <a:srgbClr val="E5EDD4"/>
                                </a:solidFill>
                              </wps:spPr>
                              <wps:bodyPr wrap="square" lIns="0" tIns="0" rIns="0" bIns="0" rtlCol="0">
                                <a:prstTxWarp prst="textNoShape">
                                  <a:avLst/>
                                </a:prstTxWarp>
                                <a:noAutofit/>
                              </wps:bodyPr>
                            </wps:wsp>
                          </wpg:wgp>
                        </a:graphicData>
                      </a:graphic>
                    </wp:anchor>
                  </w:drawing>
                </mc:Choice>
                <mc:Fallback>
                  <w:pict>
                    <v:group style="position:absolute;margin-left:9.931236pt;margin-top:.022636pt;width:54.65pt;height:16pt;mso-position-horizontal-relative:column;mso-position-vertical-relative:paragraph;z-index:-16224768" id="docshapegroup72" coordorigin="199,0" coordsize="1093,320">
                      <v:rect style="position:absolute;left:198;top:0;width:1093;height:320" id="docshape73" filled="true" fillcolor="#e5edd4" stroked="false">
                        <v:fill type="solid"/>
                      </v:rect>
                      <w10:wrap type="none"/>
                    </v:group>
                  </w:pict>
                </mc:Fallback>
              </mc:AlternateContent>
            </w:r>
            <w:r>
              <w:rPr>
                <w:color w:val="111313"/>
                <w:spacing w:val="-2"/>
                <w:sz w:val="21"/>
              </w:rPr>
              <w:t>0.000</w:t>
            </w:r>
          </w:p>
        </w:tc>
        <w:tc>
          <w:tcPr>
            <w:tcW w:w="1392" w:type="dxa"/>
            <w:tcBorders>
              <w:top w:val="single" w:sz="8" w:space="0" w:color="010202"/>
            </w:tcBorders>
          </w:tcPr>
          <w:p>
            <w:pPr>
              <w:pStyle w:val="TableParagraph"/>
              <w:spacing w:before="15"/>
              <w:ind w:left="102"/>
              <w:jc w:val="center"/>
              <w:rPr>
                <w:sz w:val="21"/>
              </w:rPr>
            </w:pPr>
            <w:r>
              <w:rPr>
                <w:sz w:val="21"/>
              </w:rPr>
              <mc:AlternateContent>
                <mc:Choice Requires="wps">
                  <w:drawing>
                    <wp:anchor distT="0" distB="0" distL="0" distR="0" allowOverlap="1" layoutInCell="1" locked="0" behindDoc="1" simplePos="0" relativeHeight="487092224">
                      <wp:simplePos x="0" y="0"/>
                      <wp:positionH relativeFrom="column">
                        <wp:posOffset>121722</wp:posOffset>
                      </wp:positionH>
                      <wp:positionV relativeFrom="paragraph">
                        <wp:posOffset>287</wp:posOffset>
                      </wp:positionV>
                      <wp:extent cx="695325" cy="203200"/>
                      <wp:effectExtent l="0" t="0" r="0" b="0"/>
                      <wp:wrapNone/>
                      <wp:docPr id="77" name="Group 77"/>
                      <wp:cNvGraphicFramePr>
                        <a:graphicFrameLocks/>
                      </wp:cNvGraphicFramePr>
                      <a:graphic>
                        <a:graphicData uri="http://schemas.microsoft.com/office/word/2010/wordprocessingGroup">
                          <wpg:wgp>
                            <wpg:cNvPr id="77" name="Group 77"/>
                            <wpg:cNvGrpSpPr/>
                            <wpg:grpSpPr>
                              <a:xfrm>
                                <a:off x="0" y="0"/>
                                <a:ext cx="695325" cy="203200"/>
                                <a:chExt cx="695325" cy="203200"/>
                              </a:xfrm>
                            </wpg:grpSpPr>
                            <wps:wsp>
                              <wps:cNvPr id="78" name="Graphic 78"/>
                              <wps:cNvSpPr/>
                              <wps:spPr>
                                <a:xfrm>
                                  <a:off x="0" y="0"/>
                                  <a:ext cx="695325" cy="203200"/>
                                </a:xfrm>
                                <a:custGeom>
                                  <a:avLst/>
                                  <a:gdLst/>
                                  <a:ahLst/>
                                  <a:cxnLst/>
                                  <a:rect l="l" t="t" r="r" b="b"/>
                                  <a:pathLst>
                                    <a:path w="695325" h="203200">
                                      <a:moveTo>
                                        <a:pt x="695253" y="0"/>
                                      </a:moveTo>
                                      <a:lnTo>
                                        <a:pt x="0" y="0"/>
                                      </a:lnTo>
                                      <a:lnTo>
                                        <a:pt x="0" y="203104"/>
                                      </a:lnTo>
                                      <a:lnTo>
                                        <a:pt x="695253" y="203104"/>
                                      </a:lnTo>
                                      <a:lnTo>
                                        <a:pt x="695253" y="0"/>
                                      </a:lnTo>
                                      <a:close/>
                                    </a:path>
                                  </a:pathLst>
                                </a:custGeom>
                                <a:solidFill>
                                  <a:srgbClr val="E5EDD4"/>
                                </a:solidFill>
                              </wps:spPr>
                              <wps:bodyPr wrap="square" lIns="0" tIns="0" rIns="0" bIns="0" rtlCol="0">
                                <a:prstTxWarp prst="textNoShape">
                                  <a:avLst/>
                                </a:prstTxWarp>
                                <a:noAutofit/>
                              </wps:bodyPr>
                            </wps:wsp>
                          </wpg:wgp>
                        </a:graphicData>
                      </a:graphic>
                    </wp:anchor>
                  </w:drawing>
                </mc:Choice>
                <mc:Fallback>
                  <w:pict>
                    <v:group style="position:absolute;margin-left:9.584435pt;margin-top:.022636pt;width:54.75pt;height:16pt;mso-position-horizontal-relative:column;mso-position-vertical-relative:paragraph;z-index:-16224256" id="docshapegroup74" coordorigin="192,0" coordsize="1095,320">
                      <v:rect style="position:absolute;left:191;top:0;width:1095;height:320" id="docshape75" filled="true" fillcolor="#e5edd4" stroked="false">
                        <v:fill type="solid"/>
                      </v:rect>
                      <w10:wrap type="none"/>
                    </v:group>
                  </w:pict>
                </mc:Fallback>
              </mc:AlternateContent>
            </w:r>
            <w:r>
              <w:rPr>
                <w:color w:val="111313"/>
                <w:spacing w:val="-2"/>
                <w:sz w:val="21"/>
              </w:rPr>
              <w:t>Supported</w:t>
            </w:r>
          </w:p>
        </w:tc>
      </w:tr>
      <w:tr>
        <w:trPr>
          <w:trHeight w:val="320" w:hRule="atLeast"/>
        </w:trPr>
        <w:tc>
          <w:tcPr>
            <w:tcW w:w="1304" w:type="dxa"/>
            <w:tcBorders>
              <w:right w:val="single" w:sz="48" w:space="0" w:color="FFFFFF"/>
            </w:tcBorders>
          </w:tcPr>
          <w:p>
            <w:pPr>
              <w:pStyle w:val="TableParagraph"/>
              <w:spacing w:before="46"/>
              <w:ind w:left="134" w:right="2"/>
              <w:jc w:val="center"/>
              <w:rPr>
                <w:b/>
                <w:sz w:val="20"/>
              </w:rPr>
            </w:pPr>
            <w:r>
              <w:rPr>
                <w:b/>
                <w:color w:val="111313"/>
                <w:spacing w:val="-5"/>
                <w:w w:val="105"/>
                <w:sz w:val="20"/>
              </w:rPr>
              <w:t>H2</w:t>
            </w:r>
          </w:p>
        </w:tc>
        <w:tc>
          <w:tcPr>
            <w:tcW w:w="1369" w:type="dxa"/>
            <w:tcBorders>
              <w:left w:val="single" w:sz="48" w:space="0" w:color="FFFFFF"/>
              <w:right w:val="single" w:sz="48" w:space="0" w:color="FFFFFF"/>
            </w:tcBorders>
          </w:tcPr>
          <w:p>
            <w:pPr>
              <w:pStyle w:val="TableParagraph"/>
              <w:spacing w:before="32"/>
              <w:ind w:left="101"/>
              <w:rPr>
                <w:sz w:val="21"/>
              </w:rPr>
            </w:pPr>
            <w:r>
              <w:rPr>
                <w:color w:val="111313"/>
                <w:w w:val="110"/>
                <w:sz w:val="21"/>
              </w:rPr>
              <w:t>TD-</w:t>
            </w:r>
            <w:r>
              <w:rPr>
                <w:color w:val="3B3838"/>
                <w:spacing w:val="-5"/>
                <w:w w:val="115"/>
                <w:sz w:val="21"/>
              </w:rPr>
              <w:t>&gt;</w:t>
            </w:r>
            <w:r>
              <w:rPr>
                <w:color w:val="111313"/>
                <w:spacing w:val="-5"/>
                <w:w w:val="115"/>
                <w:sz w:val="21"/>
              </w:rPr>
              <w:t>TM</w:t>
            </w:r>
          </w:p>
        </w:tc>
        <w:tc>
          <w:tcPr>
            <w:tcW w:w="2634" w:type="dxa"/>
            <w:tcBorders>
              <w:left w:val="single" w:sz="48" w:space="0" w:color="FFFFFF"/>
            </w:tcBorders>
          </w:tcPr>
          <w:p>
            <w:pPr>
              <w:pStyle w:val="TableParagraph"/>
              <w:tabs>
                <w:tab w:pos="1570" w:val="left" w:leader="none"/>
              </w:tabs>
              <w:spacing w:before="32"/>
              <w:ind w:left="178"/>
              <w:rPr>
                <w:sz w:val="21"/>
              </w:rPr>
            </w:pPr>
            <w:r>
              <w:rPr>
                <w:color w:val="111313"/>
                <w:spacing w:val="-2"/>
                <w:sz w:val="21"/>
              </w:rPr>
              <w:t>0.101</w:t>
            </w:r>
            <w:r>
              <w:rPr>
                <w:color w:val="111313"/>
                <w:sz w:val="21"/>
              </w:rPr>
              <w:tab/>
            </w:r>
            <w:r>
              <w:rPr>
                <w:color w:val="111313"/>
                <w:spacing w:val="-2"/>
                <w:sz w:val="21"/>
              </w:rPr>
              <w:t>2.114</w:t>
            </w:r>
          </w:p>
        </w:tc>
        <w:tc>
          <w:tcPr>
            <w:tcW w:w="1308" w:type="dxa"/>
          </w:tcPr>
          <w:p>
            <w:pPr>
              <w:pStyle w:val="TableParagraph"/>
              <w:spacing w:before="37"/>
              <w:ind w:right="310"/>
              <w:jc w:val="right"/>
              <w:rPr>
                <w:sz w:val="21"/>
              </w:rPr>
            </w:pPr>
            <w:r>
              <w:rPr>
                <w:color w:val="111313"/>
                <w:spacing w:val="-2"/>
                <w:sz w:val="21"/>
              </w:rPr>
              <w:t>0.035</w:t>
            </w:r>
          </w:p>
        </w:tc>
        <w:tc>
          <w:tcPr>
            <w:tcW w:w="1392" w:type="dxa"/>
          </w:tcPr>
          <w:p>
            <w:pPr>
              <w:pStyle w:val="TableParagraph"/>
              <w:spacing w:before="32"/>
              <w:ind w:left="102"/>
              <w:jc w:val="center"/>
              <w:rPr>
                <w:sz w:val="21"/>
              </w:rPr>
            </w:pPr>
            <w:r>
              <w:rPr>
                <w:color w:val="111313"/>
                <w:spacing w:val="-2"/>
                <w:sz w:val="21"/>
              </w:rPr>
              <w:t>Supported</w:t>
            </w:r>
          </w:p>
        </w:tc>
      </w:tr>
      <w:tr>
        <w:trPr>
          <w:trHeight w:val="344" w:hRule="atLeast"/>
        </w:trPr>
        <w:tc>
          <w:tcPr>
            <w:tcW w:w="1304" w:type="dxa"/>
            <w:tcBorders>
              <w:bottom w:val="single" w:sz="8" w:space="0" w:color="010202"/>
              <w:right w:val="single" w:sz="48" w:space="0" w:color="FFFFFF"/>
            </w:tcBorders>
          </w:tcPr>
          <w:p>
            <w:pPr>
              <w:pStyle w:val="TableParagraph"/>
              <w:spacing w:before="52"/>
              <w:ind w:left="134"/>
              <w:jc w:val="center"/>
              <w:rPr>
                <w:b/>
                <w:sz w:val="20"/>
              </w:rPr>
            </w:pPr>
            <w:r>
              <w:rPr>
                <w:b/>
                <w:sz w:val="20"/>
              </w:rPr>
              <mc:AlternateContent>
                <mc:Choice Requires="wps">
                  <w:drawing>
                    <wp:anchor distT="0" distB="0" distL="0" distR="0" allowOverlap="1" layoutInCell="1" locked="0" behindDoc="1" simplePos="0" relativeHeight="487092736">
                      <wp:simplePos x="0" y="0"/>
                      <wp:positionH relativeFrom="column">
                        <wp:posOffset>74994</wp:posOffset>
                      </wp:positionH>
                      <wp:positionV relativeFrom="paragraph">
                        <wp:posOffset>13626</wp:posOffset>
                      </wp:positionV>
                      <wp:extent cx="720725" cy="205104"/>
                      <wp:effectExtent l="0" t="0" r="0" b="0"/>
                      <wp:wrapNone/>
                      <wp:docPr id="79" name="Group 79"/>
                      <wp:cNvGraphicFramePr>
                        <a:graphicFrameLocks/>
                      </wp:cNvGraphicFramePr>
                      <a:graphic>
                        <a:graphicData uri="http://schemas.microsoft.com/office/word/2010/wordprocessingGroup">
                          <wpg:wgp>
                            <wpg:cNvPr id="79" name="Group 79"/>
                            <wpg:cNvGrpSpPr/>
                            <wpg:grpSpPr>
                              <a:xfrm>
                                <a:off x="0" y="0"/>
                                <a:ext cx="720725" cy="205104"/>
                                <a:chExt cx="720725" cy="205104"/>
                              </a:xfrm>
                            </wpg:grpSpPr>
                            <wps:wsp>
                              <wps:cNvPr id="80" name="Graphic 80"/>
                              <wps:cNvSpPr/>
                              <wps:spPr>
                                <a:xfrm>
                                  <a:off x="0" y="0"/>
                                  <a:ext cx="720725" cy="205104"/>
                                </a:xfrm>
                                <a:custGeom>
                                  <a:avLst/>
                                  <a:gdLst/>
                                  <a:ahLst/>
                                  <a:cxnLst/>
                                  <a:rect l="l" t="t" r="r" b="b"/>
                                  <a:pathLst>
                                    <a:path w="720725" h="205104">
                                      <a:moveTo>
                                        <a:pt x="720248" y="0"/>
                                      </a:moveTo>
                                      <a:lnTo>
                                        <a:pt x="0" y="0"/>
                                      </a:lnTo>
                                      <a:lnTo>
                                        <a:pt x="0" y="204666"/>
                                      </a:lnTo>
                                      <a:lnTo>
                                        <a:pt x="720248" y="204666"/>
                                      </a:lnTo>
                                      <a:lnTo>
                                        <a:pt x="720248" y="0"/>
                                      </a:lnTo>
                                      <a:close/>
                                    </a:path>
                                  </a:pathLst>
                                </a:custGeom>
                                <a:solidFill>
                                  <a:srgbClr val="E5EDD4"/>
                                </a:solidFill>
                              </wps:spPr>
                              <wps:bodyPr wrap="square" lIns="0" tIns="0" rIns="0" bIns="0" rtlCol="0">
                                <a:prstTxWarp prst="textNoShape">
                                  <a:avLst/>
                                </a:prstTxWarp>
                                <a:noAutofit/>
                              </wps:bodyPr>
                            </wps:wsp>
                          </wpg:wgp>
                        </a:graphicData>
                      </a:graphic>
                    </wp:anchor>
                  </w:drawing>
                </mc:Choice>
                <mc:Fallback>
                  <w:pict>
                    <v:group style="position:absolute;margin-left:5.9051pt;margin-top:1.072947pt;width:56.75pt;height:16.1500pt;mso-position-horizontal-relative:column;mso-position-vertical-relative:paragraph;z-index:-16223744" id="docshapegroup76" coordorigin="118,21" coordsize="1135,323">
                      <v:rect style="position:absolute;left:118;top:21;width:1135;height:323" id="docshape77" filled="true" fillcolor="#e5edd4" stroked="false">
                        <v:fill type="solid"/>
                      </v:rect>
                      <w10:wrap type="none"/>
                    </v:group>
                  </w:pict>
                </mc:Fallback>
              </mc:AlternateContent>
            </w:r>
            <w:r>
              <w:rPr>
                <w:b/>
                <w:color w:val="111313"/>
                <w:spacing w:val="-5"/>
                <w:w w:val="105"/>
                <w:sz w:val="20"/>
              </w:rPr>
              <w:t>H3</w:t>
            </w:r>
          </w:p>
        </w:tc>
        <w:tc>
          <w:tcPr>
            <w:tcW w:w="1369" w:type="dxa"/>
            <w:tcBorders>
              <w:left w:val="single" w:sz="48" w:space="0" w:color="FFFFFF"/>
              <w:bottom w:val="single" w:sz="8" w:space="0" w:color="010202"/>
              <w:right w:val="single" w:sz="48" w:space="0" w:color="FFFFFF"/>
            </w:tcBorders>
          </w:tcPr>
          <w:p>
            <w:pPr>
              <w:pStyle w:val="TableParagraph"/>
              <w:spacing w:before="33"/>
              <w:ind w:left="101"/>
              <w:rPr>
                <w:sz w:val="21"/>
              </w:rPr>
            </w:pPr>
            <w:r>
              <w:rPr>
                <w:sz w:val="21"/>
              </w:rPr>
              <mc:AlternateContent>
                <mc:Choice Requires="wps">
                  <w:drawing>
                    <wp:anchor distT="0" distB="0" distL="0" distR="0" allowOverlap="1" layoutInCell="1" locked="0" behindDoc="1" simplePos="0" relativeHeight="487093248">
                      <wp:simplePos x="0" y="0"/>
                      <wp:positionH relativeFrom="column">
                        <wp:posOffset>32808</wp:posOffset>
                      </wp:positionH>
                      <wp:positionV relativeFrom="paragraph">
                        <wp:posOffset>13593</wp:posOffset>
                      </wp:positionV>
                      <wp:extent cx="803275" cy="205104"/>
                      <wp:effectExtent l="0" t="0" r="0" b="0"/>
                      <wp:wrapNone/>
                      <wp:docPr id="81" name="Group 81"/>
                      <wp:cNvGraphicFramePr>
                        <a:graphicFrameLocks/>
                      </wp:cNvGraphicFramePr>
                      <a:graphic>
                        <a:graphicData uri="http://schemas.microsoft.com/office/word/2010/wordprocessingGroup">
                          <wpg:wgp>
                            <wpg:cNvPr id="81" name="Group 81"/>
                            <wpg:cNvGrpSpPr/>
                            <wpg:grpSpPr>
                              <a:xfrm>
                                <a:off x="0" y="0"/>
                                <a:ext cx="803275" cy="205104"/>
                                <a:chExt cx="803275" cy="205104"/>
                              </a:xfrm>
                            </wpg:grpSpPr>
                            <wps:wsp>
                              <wps:cNvPr id="82" name="Graphic 82"/>
                              <wps:cNvSpPr/>
                              <wps:spPr>
                                <a:xfrm>
                                  <a:off x="-2" y="8"/>
                                  <a:ext cx="803275" cy="205104"/>
                                </a:xfrm>
                                <a:custGeom>
                                  <a:avLst/>
                                  <a:gdLst/>
                                  <a:ahLst/>
                                  <a:cxnLst/>
                                  <a:rect l="l" t="t" r="r" b="b"/>
                                  <a:pathLst>
                                    <a:path w="803275" h="205104">
                                      <a:moveTo>
                                        <a:pt x="803046" y="0"/>
                                      </a:moveTo>
                                      <a:lnTo>
                                        <a:pt x="737425" y="0"/>
                                      </a:lnTo>
                                      <a:lnTo>
                                        <a:pt x="67170" y="0"/>
                                      </a:lnTo>
                                      <a:lnTo>
                                        <a:pt x="0" y="0"/>
                                      </a:lnTo>
                                      <a:lnTo>
                                        <a:pt x="0" y="204660"/>
                                      </a:lnTo>
                                      <a:lnTo>
                                        <a:pt x="67170" y="204660"/>
                                      </a:lnTo>
                                      <a:lnTo>
                                        <a:pt x="737425" y="204660"/>
                                      </a:lnTo>
                                      <a:lnTo>
                                        <a:pt x="803046" y="204660"/>
                                      </a:lnTo>
                                      <a:lnTo>
                                        <a:pt x="803046" y="0"/>
                                      </a:lnTo>
                                      <a:close/>
                                    </a:path>
                                  </a:pathLst>
                                </a:custGeom>
                                <a:solidFill>
                                  <a:srgbClr val="E5EDD4"/>
                                </a:solidFill>
                              </wps:spPr>
                              <wps:bodyPr wrap="square" lIns="0" tIns="0" rIns="0" bIns="0" rtlCol="0">
                                <a:prstTxWarp prst="textNoShape">
                                  <a:avLst/>
                                </a:prstTxWarp>
                                <a:noAutofit/>
                              </wps:bodyPr>
                            </wps:wsp>
                          </wpg:wgp>
                        </a:graphicData>
                      </a:graphic>
                    </wp:anchor>
                  </w:drawing>
                </mc:Choice>
                <mc:Fallback>
                  <w:pict>
                    <v:group style="position:absolute;margin-left:2.583350pt;margin-top:1.070334pt;width:63.25pt;height:16.1500pt;mso-position-horizontal-relative:column;mso-position-vertical-relative:paragraph;z-index:-16223232" id="docshapegroup78" coordorigin="52,21" coordsize="1265,323">
                      <v:shape style="position:absolute;left:51;top:21;width:1265;height:323" id="docshape79" coordorigin="52,21" coordsize="1265,323" path="m1316,21l1213,21,157,21,52,21,52,344,157,344,1213,344,1316,344,1316,21xe" filled="true" fillcolor="#e5edd4" stroked="false">
                        <v:path arrowok="t"/>
                        <v:fill type="solid"/>
                      </v:shape>
                      <w10:wrap type="none"/>
                    </v:group>
                  </w:pict>
                </mc:Fallback>
              </mc:AlternateContent>
            </w:r>
            <w:r>
              <w:rPr>
                <w:color w:val="111313"/>
                <w:w w:val="110"/>
                <w:sz w:val="21"/>
              </w:rPr>
              <w:t>TM-</w:t>
            </w:r>
            <w:r>
              <w:rPr>
                <w:color w:val="3B3838"/>
                <w:w w:val="110"/>
                <w:sz w:val="21"/>
              </w:rPr>
              <w:t>&gt;</w:t>
            </w:r>
            <w:r>
              <w:rPr>
                <w:color w:val="3B3838"/>
                <w:spacing w:val="3"/>
                <w:w w:val="110"/>
                <w:sz w:val="21"/>
              </w:rPr>
              <w:t> </w:t>
            </w:r>
            <w:r>
              <w:rPr>
                <w:color w:val="111313"/>
                <w:spacing w:val="-5"/>
                <w:w w:val="110"/>
                <w:sz w:val="21"/>
              </w:rPr>
              <w:t>EP</w:t>
            </w:r>
          </w:p>
        </w:tc>
        <w:tc>
          <w:tcPr>
            <w:tcW w:w="2634" w:type="dxa"/>
            <w:tcBorders>
              <w:left w:val="single" w:sz="48" w:space="0" w:color="FFFFFF"/>
              <w:bottom w:val="single" w:sz="8" w:space="0" w:color="010202"/>
            </w:tcBorders>
          </w:tcPr>
          <w:p>
            <w:pPr>
              <w:pStyle w:val="TableParagraph"/>
              <w:tabs>
                <w:tab w:pos="1570" w:val="left" w:leader="none"/>
              </w:tabs>
              <w:spacing w:before="33"/>
              <w:ind w:left="178"/>
              <w:rPr>
                <w:sz w:val="21"/>
              </w:rPr>
            </w:pPr>
            <w:r>
              <w:rPr>
                <w:sz w:val="21"/>
              </w:rPr>
              <mc:AlternateContent>
                <mc:Choice Requires="wps">
                  <w:drawing>
                    <wp:anchor distT="0" distB="0" distL="0" distR="0" allowOverlap="1" layoutInCell="1" locked="0" behindDoc="1" simplePos="0" relativeHeight="487093760">
                      <wp:simplePos x="0" y="0"/>
                      <wp:positionH relativeFrom="column">
                        <wp:posOffset>33589</wp:posOffset>
                      </wp:positionH>
                      <wp:positionV relativeFrom="paragraph">
                        <wp:posOffset>13593</wp:posOffset>
                      </wp:positionV>
                      <wp:extent cx="530225" cy="205104"/>
                      <wp:effectExtent l="0" t="0" r="0" b="0"/>
                      <wp:wrapNone/>
                      <wp:docPr id="83" name="Group 83"/>
                      <wp:cNvGraphicFramePr>
                        <a:graphicFrameLocks/>
                      </wp:cNvGraphicFramePr>
                      <a:graphic>
                        <a:graphicData uri="http://schemas.microsoft.com/office/word/2010/wordprocessingGroup">
                          <wpg:wgp>
                            <wpg:cNvPr id="83" name="Group 83"/>
                            <wpg:cNvGrpSpPr/>
                            <wpg:grpSpPr>
                              <a:xfrm>
                                <a:off x="0" y="0"/>
                                <a:ext cx="530225" cy="205104"/>
                                <a:chExt cx="530225" cy="205104"/>
                              </a:xfrm>
                            </wpg:grpSpPr>
                            <wps:wsp>
                              <wps:cNvPr id="84" name="Graphic 84"/>
                              <wps:cNvSpPr/>
                              <wps:spPr>
                                <a:xfrm>
                                  <a:off x="0" y="0"/>
                                  <a:ext cx="530225" cy="205104"/>
                                </a:xfrm>
                                <a:custGeom>
                                  <a:avLst/>
                                  <a:gdLst/>
                                  <a:ahLst/>
                                  <a:cxnLst/>
                                  <a:rect l="l" t="t" r="r" b="b"/>
                                  <a:pathLst>
                                    <a:path w="530225" h="205104">
                                      <a:moveTo>
                                        <a:pt x="529639" y="0"/>
                                      </a:moveTo>
                                      <a:lnTo>
                                        <a:pt x="0" y="0"/>
                                      </a:lnTo>
                                      <a:lnTo>
                                        <a:pt x="0" y="204666"/>
                                      </a:lnTo>
                                      <a:lnTo>
                                        <a:pt x="529639" y="204666"/>
                                      </a:lnTo>
                                      <a:lnTo>
                                        <a:pt x="529639" y="0"/>
                                      </a:lnTo>
                                      <a:close/>
                                    </a:path>
                                  </a:pathLst>
                                </a:custGeom>
                                <a:solidFill>
                                  <a:srgbClr val="E5EDD4"/>
                                </a:solidFill>
                              </wps:spPr>
                              <wps:bodyPr wrap="square" lIns="0" tIns="0" rIns="0" bIns="0" rtlCol="0">
                                <a:prstTxWarp prst="textNoShape">
                                  <a:avLst/>
                                </a:prstTxWarp>
                                <a:noAutofit/>
                              </wps:bodyPr>
                            </wps:wsp>
                          </wpg:wgp>
                        </a:graphicData>
                      </a:graphic>
                    </wp:anchor>
                  </w:drawing>
                </mc:Choice>
                <mc:Fallback>
                  <w:pict>
                    <v:group style="position:absolute;margin-left:2.64485pt;margin-top:1.070334pt;width:41.75pt;height:16.1500pt;mso-position-horizontal-relative:column;mso-position-vertical-relative:paragraph;z-index:-16222720" id="docshapegroup80" coordorigin="53,21" coordsize="835,323">
                      <v:rect style="position:absolute;left:52;top:21;width:835;height:323" id="docshape81" filled="true" fillcolor="#e5edd4" stroked="false">
                        <v:fill type="solid"/>
                      </v:rect>
                      <w10:wrap type="none"/>
                    </v:group>
                  </w:pict>
                </mc:Fallback>
              </mc:AlternateContent>
            </w:r>
            <w:r>
              <w:rPr>
                <w:sz w:val="21"/>
              </w:rPr>
              <mc:AlternateContent>
                <mc:Choice Requires="wps">
                  <w:drawing>
                    <wp:anchor distT="0" distB="0" distL="0" distR="0" allowOverlap="1" layoutInCell="1" locked="0" behindDoc="1" simplePos="0" relativeHeight="487094272">
                      <wp:simplePos x="0" y="0"/>
                      <wp:positionH relativeFrom="column">
                        <wp:posOffset>694467</wp:posOffset>
                      </wp:positionH>
                      <wp:positionV relativeFrom="paragraph">
                        <wp:posOffset>13593</wp:posOffset>
                      </wp:positionV>
                      <wp:extent cx="972185" cy="205104"/>
                      <wp:effectExtent l="0" t="0" r="0" b="0"/>
                      <wp:wrapNone/>
                      <wp:docPr id="85" name="Group 85"/>
                      <wp:cNvGraphicFramePr>
                        <a:graphicFrameLocks/>
                      </wp:cNvGraphicFramePr>
                      <a:graphic>
                        <a:graphicData uri="http://schemas.microsoft.com/office/word/2010/wordprocessingGroup">
                          <wpg:wgp>
                            <wpg:cNvPr id="85" name="Group 85"/>
                            <wpg:cNvGrpSpPr/>
                            <wpg:grpSpPr>
                              <a:xfrm>
                                <a:off x="0" y="0"/>
                                <a:ext cx="972185" cy="205104"/>
                                <a:chExt cx="972185" cy="205104"/>
                              </a:xfrm>
                            </wpg:grpSpPr>
                            <wps:wsp>
                              <wps:cNvPr id="86" name="Graphic 86"/>
                              <wps:cNvSpPr/>
                              <wps:spPr>
                                <a:xfrm>
                                  <a:off x="0" y="0"/>
                                  <a:ext cx="972185" cy="205104"/>
                                </a:xfrm>
                                <a:custGeom>
                                  <a:avLst/>
                                  <a:gdLst/>
                                  <a:ahLst/>
                                  <a:cxnLst/>
                                  <a:rect l="l" t="t" r="r" b="b"/>
                                  <a:pathLst>
                                    <a:path w="972185" h="205104">
                                      <a:moveTo>
                                        <a:pt x="971791" y="0"/>
                                      </a:moveTo>
                                      <a:lnTo>
                                        <a:pt x="0" y="0"/>
                                      </a:lnTo>
                                      <a:lnTo>
                                        <a:pt x="0" y="204666"/>
                                      </a:lnTo>
                                      <a:lnTo>
                                        <a:pt x="971791" y="204666"/>
                                      </a:lnTo>
                                      <a:lnTo>
                                        <a:pt x="971791" y="0"/>
                                      </a:lnTo>
                                      <a:close/>
                                    </a:path>
                                  </a:pathLst>
                                </a:custGeom>
                                <a:solidFill>
                                  <a:srgbClr val="E5EDD4"/>
                                </a:solidFill>
                              </wps:spPr>
                              <wps:bodyPr wrap="square" lIns="0" tIns="0" rIns="0" bIns="0" rtlCol="0">
                                <a:prstTxWarp prst="textNoShape">
                                  <a:avLst/>
                                </a:prstTxWarp>
                                <a:noAutofit/>
                              </wps:bodyPr>
                            </wps:wsp>
                          </wpg:wgp>
                        </a:graphicData>
                      </a:graphic>
                    </wp:anchor>
                  </w:drawing>
                </mc:Choice>
                <mc:Fallback>
                  <w:pict>
                    <v:group style="position:absolute;margin-left:54.682449pt;margin-top:1.070334pt;width:76.55pt;height:16.1500pt;mso-position-horizontal-relative:column;mso-position-vertical-relative:paragraph;z-index:-16222208" id="docshapegroup82" coordorigin="1094,21" coordsize="1531,323">
                      <v:rect style="position:absolute;left:1093;top:21;width:1531;height:323" id="docshape83" filled="true" fillcolor="#e5edd4" stroked="false">
                        <v:fill type="solid"/>
                      </v:rect>
                      <w10:wrap type="none"/>
                    </v:group>
                  </w:pict>
                </mc:Fallback>
              </mc:AlternateContent>
            </w:r>
            <w:r>
              <w:rPr>
                <w:color w:val="111313"/>
                <w:spacing w:val="-2"/>
                <w:sz w:val="21"/>
              </w:rPr>
              <w:t>0.092</w:t>
            </w:r>
            <w:r>
              <w:rPr>
                <w:color w:val="111313"/>
                <w:sz w:val="21"/>
              </w:rPr>
              <w:tab/>
            </w:r>
            <w:r>
              <w:rPr>
                <w:color w:val="111313"/>
                <w:spacing w:val="-2"/>
                <w:sz w:val="21"/>
              </w:rPr>
              <w:t>2.305</w:t>
            </w:r>
          </w:p>
        </w:tc>
        <w:tc>
          <w:tcPr>
            <w:tcW w:w="1308" w:type="dxa"/>
            <w:tcBorders>
              <w:bottom w:val="single" w:sz="8" w:space="0" w:color="010202"/>
            </w:tcBorders>
          </w:tcPr>
          <w:p>
            <w:pPr>
              <w:pStyle w:val="TableParagraph"/>
              <w:spacing w:before="33"/>
              <w:ind w:right="310"/>
              <w:jc w:val="right"/>
              <w:rPr>
                <w:sz w:val="21"/>
              </w:rPr>
            </w:pPr>
            <w:r>
              <w:rPr>
                <w:sz w:val="21"/>
              </w:rPr>
              <mc:AlternateContent>
                <mc:Choice Requires="wps">
                  <w:drawing>
                    <wp:anchor distT="0" distB="0" distL="0" distR="0" allowOverlap="1" layoutInCell="1" locked="0" behindDoc="1" simplePos="0" relativeHeight="487094784">
                      <wp:simplePos x="0" y="0"/>
                      <wp:positionH relativeFrom="column">
                        <wp:posOffset>126126</wp:posOffset>
                      </wp:positionH>
                      <wp:positionV relativeFrom="paragraph">
                        <wp:posOffset>13593</wp:posOffset>
                      </wp:positionV>
                      <wp:extent cx="694055" cy="205104"/>
                      <wp:effectExtent l="0" t="0" r="0" b="0"/>
                      <wp:wrapNone/>
                      <wp:docPr id="87" name="Group 87"/>
                      <wp:cNvGraphicFramePr>
                        <a:graphicFrameLocks/>
                      </wp:cNvGraphicFramePr>
                      <a:graphic>
                        <a:graphicData uri="http://schemas.microsoft.com/office/word/2010/wordprocessingGroup">
                          <wpg:wgp>
                            <wpg:cNvPr id="87" name="Group 87"/>
                            <wpg:cNvGrpSpPr/>
                            <wpg:grpSpPr>
                              <a:xfrm>
                                <a:off x="0" y="0"/>
                                <a:ext cx="694055" cy="205104"/>
                                <a:chExt cx="694055" cy="205104"/>
                              </a:xfrm>
                            </wpg:grpSpPr>
                            <wps:wsp>
                              <wps:cNvPr id="88" name="Graphic 88"/>
                              <wps:cNvSpPr/>
                              <wps:spPr>
                                <a:xfrm>
                                  <a:off x="0" y="0"/>
                                  <a:ext cx="694055" cy="205104"/>
                                </a:xfrm>
                                <a:custGeom>
                                  <a:avLst/>
                                  <a:gdLst/>
                                  <a:ahLst/>
                                  <a:cxnLst/>
                                  <a:rect l="l" t="t" r="r" b="b"/>
                                  <a:pathLst>
                                    <a:path w="694055" h="205104">
                                      <a:moveTo>
                                        <a:pt x="693684" y="0"/>
                                      </a:moveTo>
                                      <a:lnTo>
                                        <a:pt x="0" y="0"/>
                                      </a:lnTo>
                                      <a:lnTo>
                                        <a:pt x="0" y="204666"/>
                                      </a:lnTo>
                                      <a:lnTo>
                                        <a:pt x="693684" y="204666"/>
                                      </a:lnTo>
                                      <a:lnTo>
                                        <a:pt x="693684" y="0"/>
                                      </a:lnTo>
                                      <a:close/>
                                    </a:path>
                                  </a:pathLst>
                                </a:custGeom>
                                <a:solidFill>
                                  <a:srgbClr val="E5EDD4"/>
                                </a:solidFill>
                              </wps:spPr>
                              <wps:bodyPr wrap="square" lIns="0" tIns="0" rIns="0" bIns="0" rtlCol="0">
                                <a:prstTxWarp prst="textNoShape">
                                  <a:avLst/>
                                </a:prstTxWarp>
                                <a:noAutofit/>
                              </wps:bodyPr>
                            </wps:wsp>
                          </wpg:wgp>
                        </a:graphicData>
                      </a:graphic>
                    </wp:anchor>
                  </w:drawing>
                </mc:Choice>
                <mc:Fallback>
                  <w:pict>
                    <v:group style="position:absolute;margin-left:9.931236pt;margin-top:1.070334pt;width:54.65pt;height:16.1500pt;mso-position-horizontal-relative:column;mso-position-vertical-relative:paragraph;z-index:-16221696" id="docshapegroup84" coordorigin="199,21" coordsize="1093,323">
                      <v:rect style="position:absolute;left:198;top:21;width:1093;height:323" id="docshape85" filled="true" fillcolor="#e5edd4" stroked="false">
                        <v:fill type="solid"/>
                      </v:rect>
                      <w10:wrap type="none"/>
                    </v:group>
                  </w:pict>
                </mc:Fallback>
              </mc:AlternateContent>
            </w:r>
            <w:r>
              <w:rPr>
                <w:color w:val="111313"/>
                <w:spacing w:val="-2"/>
                <w:sz w:val="21"/>
              </w:rPr>
              <w:t>0.021</w:t>
            </w:r>
          </w:p>
        </w:tc>
        <w:tc>
          <w:tcPr>
            <w:tcW w:w="1392" w:type="dxa"/>
            <w:tcBorders>
              <w:bottom w:val="single" w:sz="8" w:space="0" w:color="010202"/>
            </w:tcBorders>
          </w:tcPr>
          <w:p>
            <w:pPr>
              <w:pStyle w:val="TableParagraph"/>
              <w:spacing w:before="38"/>
              <w:ind w:left="102"/>
              <w:jc w:val="center"/>
              <w:rPr>
                <w:sz w:val="21"/>
              </w:rPr>
            </w:pPr>
            <w:r>
              <w:rPr>
                <w:sz w:val="21"/>
              </w:rPr>
              <mc:AlternateContent>
                <mc:Choice Requires="wps">
                  <w:drawing>
                    <wp:anchor distT="0" distB="0" distL="0" distR="0" allowOverlap="1" layoutInCell="1" locked="0" behindDoc="1" simplePos="0" relativeHeight="487095296">
                      <wp:simplePos x="0" y="0"/>
                      <wp:positionH relativeFrom="column">
                        <wp:posOffset>121722</wp:posOffset>
                      </wp:positionH>
                      <wp:positionV relativeFrom="paragraph">
                        <wp:posOffset>13716</wp:posOffset>
                      </wp:positionV>
                      <wp:extent cx="695325" cy="205104"/>
                      <wp:effectExtent l="0" t="0" r="0" b="0"/>
                      <wp:wrapNone/>
                      <wp:docPr id="89" name="Group 89"/>
                      <wp:cNvGraphicFramePr>
                        <a:graphicFrameLocks/>
                      </wp:cNvGraphicFramePr>
                      <a:graphic>
                        <a:graphicData uri="http://schemas.microsoft.com/office/word/2010/wordprocessingGroup">
                          <wpg:wgp>
                            <wpg:cNvPr id="89" name="Group 89"/>
                            <wpg:cNvGrpSpPr/>
                            <wpg:grpSpPr>
                              <a:xfrm>
                                <a:off x="0" y="0"/>
                                <a:ext cx="695325" cy="205104"/>
                                <a:chExt cx="695325" cy="205104"/>
                              </a:xfrm>
                            </wpg:grpSpPr>
                            <wps:wsp>
                              <wps:cNvPr id="90" name="Graphic 90"/>
                              <wps:cNvSpPr/>
                              <wps:spPr>
                                <a:xfrm>
                                  <a:off x="0" y="0"/>
                                  <a:ext cx="695325" cy="205104"/>
                                </a:xfrm>
                                <a:custGeom>
                                  <a:avLst/>
                                  <a:gdLst/>
                                  <a:ahLst/>
                                  <a:cxnLst/>
                                  <a:rect l="l" t="t" r="r" b="b"/>
                                  <a:pathLst>
                                    <a:path w="695325" h="205104">
                                      <a:moveTo>
                                        <a:pt x="695253" y="0"/>
                                      </a:moveTo>
                                      <a:lnTo>
                                        <a:pt x="0" y="0"/>
                                      </a:lnTo>
                                      <a:lnTo>
                                        <a:pt x="0" y="204666"/>
                                      </a:lnTo>
                                      <a:lnTo>
                                        <a:pt x="695253" y="204666"/>
                                      </a:lnTo>
                                      <a:lnTo>
                                        <a:pt x="695253" y="0"/>
                                      </a:lnTo>
                                      <a:close/>
                                    </a:path>
                                  </a:pathLst>
                                </a:custGeom>
                                <a:solidFill>
                                  <a:srgbClr val="E5EDD4"/>
                                </a:solidFill>
                              </wps:spPr>
                              <wps:bodyPr wrap="square" lIns="0" tIns="0" rIns="0" bIns="0" rtlCol="0">
                                <a:prstTxWarp prst="textNoShape">
                                  <a:avLst/>
                                </a:prstTxWarp>
                                <a:noAutofit/>
                              </wps:bodyPr>
                            </wps:wsp>
                          </wpg:wgp>
                        </a:graphicData>
                      </a:graphic>
                    </wp:anchor>
                  </w:drawing>
                </mc:Choice>
                <mc:Fallback>
                  <w:pict>
                    <v:group style="position:absolute;margin-left:9.584435pt;margin-top:1.080039pt;width:54.75pt;height:16.1500pt;mso-position-horizontal-relative:column;mso-position-vertical-relative:paragraph;z-index:-16221184" id="docshapegroup86" coordorigin="192,22" coordsize="1095,323">
                      <v:rect style="position:absolute;left:191;top:21;width:1095;height:323" id="docshape87" filled="true" fillcolor="#e5edd4" stroked="false">
                        <v:fill type="solid"/>
                      </v:rect>
                      <w10:wrap type="none"/>
                    </v:group>
                  </w:pict>
                </mc:Fallback>
              </mc:AlternateContent>
            </w:r>
            <w:r>
              <w:rPr>
                <w:color w:val="111313"/>
                <w:spacing w:val="-2"/>
                <w:sz w:val="21"/>
              </w:rPr>
              <w:t>Supported</w:t>
            </w:r>
          </w:p>
        </w:tc>
      </w:tr>
    </w:tbl>
    <w:p>
      <w:pPr>
        <w:pStyle w:val="ListParagraph"/>
        <w:numPr>
          <w:ilvl w:val="2"/>
          <w:numId w:val="1"/>
        </w:numPr>
        <w:tabs>
          <w:tab w:pos="792" w:val="left" w:leader="none"/>
        </w:tabs>
        <w:spacing w:line="240" w:lineRule="auto" w:before="83" w:after="0"/>
        <w:ind w:left="792" w:right="0" w:hanging="471"/>
        <w:jc w:val="left"/>
        <w:rPr>
          <w:i/>
          <w:color w:val="111313"/>
          <w:sz w:val="20"/>
        </w:rPr>
      </w:pPr>
      <w:r>
        <w:rPr>
          <w:i/>
          <w:color w:val="111313"/>
          <w:w w:val="105"/>
          <w:sz w:val="20"/>
        </w:rPr>
        <w:t>Mediating</w:t>
      </w:r>
      <w:r>
        <w:rPr>
          <w:i/>
          <w:color w:val="111313"/>
          <w:spacing w:val="19"/>
          <w:w w:val="105"/>
          <w:sz w:val="20"/>
        </w:rPr>
        <w:t> </w:t>
      </w:r>
      <w:r>
        <w:rPr>
          <w:i/>
          <w:color w:val="262626"/>
          <w:spacing w:val="-2"/>
          <w:w w:val="105"/>
          <w:sz w:val="20"/>
        </w:rPr>
        <w:t>Effect</w:t>
      </w:r>
    </w:p>
    <w:p>
      <w:pPr>
        <w:pStyle w:val="BodyText"/>
        <w:spacing w:line="292" w:lineRule="auto" w:before="150"/>
        <w:ind w:left="320" w:right="300" w:firstLine="2"/>
        <w:jc w:val="both"/>
      </w:pPr>
      <w:r>
        <w:rPr>
          <w:color w:val="111313"/>
        </w:rPr>
        <w:t>The result of testing the mediating effect hypothesis in the readymade garments industry of Bangladesh</w:t>
      </w:r>
      <w:r>
        <w:rPr>
          <w:color w:val="111313"/>
          <w:spacing w:val="40"/>
        </w:rPr>
        <w:t> </w:t>
      </w:r>
      <w:r>
        <w:rPr>
          <w:color w:val="111313"/>
        </w:rPr>
        <w:t>indicates</w:t>
      </w:r>
      <w:r>
        <w:rPr>
          <w:color w:val="111313"/>
          <w:spacing w:val="40"/>
        </w:rPr>
        <w:t> </w:t>
      </w:r>
      <w:r>
        <w:rPr>
          <w:color w:val="111313"/>
        </w:rPr>
        <w:t>that</w:t>
      </w:r>
      <w:r>
        <w:rPr>
          <w:color w:val="111313"/>
          <w:spacing w:val="40"/>
        </w:rPr>
        <w:t> </w:t>
      </w:r>
      <w:r>
        <w:rPr>
          <w:color w:val="111313"/>
        </w:rPr>
        <w:t>the</w:t>
      </w:r>
      <w:r>
        <w:rPr>
          <w:color w:val="111313"/>
          <w:spacing w:val="40"/>
        </w:rPr>
        <w:t> </w:t>
      </w:r>
      <w:r>
        <w:rPr>
          <w:color w:val="111313"/>
        </w:rPr>
        <w:t>indirect</w:t>
      </w:r>
      <w:r>
        <w:rPr>
          <w:color w:val="111313"/>
          <w:spacing w:val="40"/>
        </w:rPr>
        <w:t> </w:t>
      </w:r>
      <w:r>
        <w:rPr>
          <w:color w:val="111313"/>
        </w:rPr>
        <w:t>path</w:t>
      </w:r>
      <w:r>
        <w:rPr>
          <w:color w:val="111313"/>
          <w:spacing w:val="40"/>
        </w:rPr>
        <w:t> </w:t>
      </w:r>
      <w:r>
        <w:rPr>
          <w:color w:val="111313"/>
        </w:rPr>
        <w:t>from Training</w:t>
      </w:r>
      <w:r>
        <w:rPr>
          <w:color w:val="111313"/>
          <w:spacing w:val="40"/>
        </w:rPr>
        <w:t> </w:t>
      </w:r>
      <w:r>
        <w:rPr>
          <w:color w:val="111313"/>
        </w:rPr>
        <w:t>&amp; Development</w:t>
      </w:r>
      <w:r>
        <w:rPr>
          <w:color w:val="111313"/>
          <w:spacing w:val="40"/>
        </w:rPr>
        <w:t> </w:t>
      </w:r>
      <w:r>
        <w:rPr>
          <w:color w:val="111313"/>
        </w:rPr>
        <w:t>(T&amp;D)</w:t>
      </w:r>
      <w:r>
        <w:rPr>
          <w:color w:val="111313"/>
          <w:spacing w:val="40"/>
        </w:rPr>
        <w:t> </w:t>
      </w:r>
      <w:r>
        <w:rPr>
          <w:color w:val="111313"/>
        </w:rPr>
        <w:t>to Employee</w:t>
      </w:r>
      <w:r>
        <w:rPr>
          <w:color w:val="111313"/>
          <w:spacing w:val="24"/>
        </w:rPr>
        <w:t> </w:t>
      </w:r>
      <w:r>
        <w:rPr>
          <w:color w:val="111313"/>
        </w:rPr>
        <w:t>Productivity</w:t>
      </w:r>
      <w:r>
        <w:rPr>
          <w:color w:val="111313"/>
          <w:spacing w:val="32"/>
        </w:rPr>
        <w:t> </w:t>
      </w:r>
      <w:r>
        <w:rPr>
          <w:color w:val="111313"/>
        </w:rPr>
        <w:t>(EP)</w:t>
      </w:r>
      <w:r>
        <w:rPr>
          <w:color w:val="111313"/>
          <w:spacing w:val="21"/>
        </w:rPr>
        <w:t> </w:t>
      </w:r>
      <w:r>
        <w:rPr>
          <w:color w:val="111313"/>
        </w:rPr>
        <w:t>through</w:t>
      </w:r>
      <w:r>
        <w:rPr>
          <w:color w:val="111313"/>
          <w:spacing w:val="32"/>
        </w:rPr>
        <w:t> </w:t>
      </w:r>
      <w:r>
        <w:rPr>
          <w:color w:val="111313"/>
        </w:rPr>
        <w:t>Training</w:t>
      </w:r>
      <w:r>
        <w:rPr>
          <w:color w:val="111313"/>
          <w:spacing w:val="24"/>
        </w:rPr>
        <w:t> </w:t>
      </w:r>
      <w:r>
        <w:rPr>
          <w:color w:val="111313"/>
        </w:rPr>
        <w:t>Motivation</w:t>
      </w:r>
      <w:r>
        <w:rPr>
          <w:color w:val="111313"/>
          <w:spacing w:val="35"/>
        </w:rPr>
        <w:t> </w:t>
      </w:r>
      <w:r>
        <w:rPr>
          <w:color w:val="111313"/>
        </w:rPr>
        <w:t>(TM)</w:t>
      </w:r>
      <w:r>
        <w:rPr>
          <w:color w:val="111313"/>
          <w:spacing w:val="18"/>
        </w:rPr>
        <w:t> </w:t>
      </w:r>
      <w:r>
        <w:rPr>
          <w:color w:val="010101"/>
        </w:rPr>
        <w:t>is </w:t>
      </w:r>
      <w:r>
        <w:rPr>
          <w:color w:val="111313"/>
        </w:rPr>
        <w:t>not supported(�=</w:t>
      </w:r>
      <w:r>
        <w:rPr>
          <w:color w:val="111313"/>
          <w:spacing w:val="38"/>
        </w:rPr>
        <w:t> </w:t>
      </w:r>
      <w:r>
        <w:rPr>
          <w:color w:val="111313"/>
        </w:rPr>
        <w:t>0.009, T = 1.404, p = 0.16). </w:t>
      </w:r>
      <w:r>
        <w:rPr>
          <w:color w:val="010101"/>
        </w:rPr>
        <w:t>This </w:t>
      </w:r>
      <w:r>
        <w:rPr>
          <w:color w:val="111313"/>
        </w:rPr>
        <w:t>suggests that while </w:t>
      </w:r>
      <w:r>
        <w:rPr>
          <w:color w:val="010101"/>
        </w:rPr>
        <w:t>T&amp;D </w:t>
      </w:r>
      <w:r>
        <w:rPr>
          <w:color w:val="111313"/>
        </w:rPr>
        <w:t>has a significant direct effect on EP</w:t>
      </w:r>
      <w:r>
        <w:rPr>
          <w:color w:val="3B3838"/>
        </w:rPr>
        <w:t>, </w:t>
      </w:r>
      <w:r>
        <w:rPr>
          <w:color w:val="111313"/>
        </w:rPr>
        <w:t>the </w:t>
      </w:r>
      <w:r>
        <w:rPr>
          <w:color w:val="010101"/>
        </w:rPr>
        <w:t>inclusion </w:t>
      </w:r>
      <w:r>
        <w:rPr>
          <w:color w:val="111313"/>
        </w:rPr>
        <w:t>of TM as a mediator does not significantly enhance the understanding of the relationship between T&amp;D and EP. The </w:t>
      </w:r>
      <w:r>
        <w:rPr>
          <w:color w:val="010101"/>
        </w:rPr>
        <w:t>lack </w:t>
      </w:r>
      <w:r>
        <w:rPr>
          <w:color w:val="111313"/>
        </w:rPr>
        <w:t>of support for the mediating effect implies that other mechanisms</w:t>
      </w:r>
      <w:r>
        <w:rPr>
          <w:color w:val="111313"/>
          <w:spacing w:val="29"/>
        </w:rPr>
        <w:t> </w:t>
      </w:r>
      <w:r>
        <w:rPr>
          <w:color w:val="111313"/>
        </w:rPr>
        <w:t>beyond training motivation</w:t>
      </w:r>
      <w:r>
        <w:rPr>
          <w:color w:val="111313"/>
          <w:spacing w:val="32"/>
        </w:rPr>
        <w:t> </w:t>
      </w:r>
      <w:r>
        <w:rPr>
          <w:color w:val="111313"/>
        </w:rPr>
        <w:t>might</w:t>
      </w:r>
      <w:r>
        <w:rPr>
          <w:color w:val="111313"/>
          <w:spacing w:val="25"/>
        </w:rPr>
        <w:t> </w:t>
      </w:r>
      <w:r>
        <w:rPr>
          <w:color w:val="111313"/>
        </w:rPr>
        <w:t>better explain</w:t>
      </w:r>
      <w:r>
        <w:rPr>
          <w:color w:val="111313"/>
          <w:spacing w:val="32"/>
        </w:rPr>
        <w:t> </w:t>
      </w:r>
      <w:r>
        <w:rPr>
          <w:color w:val="111313"/>
        </w:rPr>
        <w:t>how</w:t>
      </w:r>
      <w:r>
        <w:rPr>
          <w:color w:val="111313"/>
          <w:spacing w:val="22"/>
        </w:rPr>
        <w:t> </w:t>
      </w:r>
      <w:r>
        <w:rPr>
          <w:color w:val="111313"/>
        </w:rPr>
        <w:t>T&amp;D influences</w:t>
      </w:r>
      <w:r>
        <w:rPr>
          <w:color w:val="111313"/>
          <w:spacing w:val="21"/>
        </w:rPr>
        <w:t> </w:t>
      </w:r>
      <w:r>
        <w:rPr>
          <w:color w:val="111313"/>
        </w:rPr>
        <w:t>EP in this industry context. Potential factors such as job satisfaction, organizational culture, or </w:t>
      </w:r>
      <w:r>
        <w:rPr>
          <w:color w:val="010101"/>
        </w:rPr>
        <w:t>individual</w:t>
      </w:r>
      <w:r>
        <w:rPr>
          <w:color w:val="010101"/>
          <w:spacing w:val="40"/>
        </w:rPr>
        <w:t> </w:t>
      </w:r>
      <w:r>
        <w:rPr>
          <w:color w:val="111313"/>
        </w:rPr>
        <w:t>characteristics may play additional mediating roles and warrant further</w:t>
      </w:r>
      <w:r>
        <w:rPr>
          <w:color w:val="111313"/>
          <w:spacing w:val="40"/>
        </w:rPr>
        <w:t> </w:t>
      </w:r>
      <w:r>
        <w:rPr>
          <w:color w:val="111313"/>
        </w:rPr>
        <w:t>investigation to gain a comprehensive understanding of the pathways through which T&amp;D initiatives impact EP outcomes. These findings underscore the complexity of the relationship between T&amp;D, TM, and EP, highlighting the need for nuanced approaches in designing and implementing</w:t>
      </w:r>
      <w:r>
        <w:rPr>
          <w:color w:val="111313"/>
          <w:spacing w:val="40"/>
        </w:rPr>
        <w:t> </w:t>
      </w:r>
      <w:r>
        <w:rPr>
          <w:color w:val="111313"/>
        </w:rPr>
        <w:t>training interventions in the Readymade Garments Industry of Bangladesh.</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49"/>
      </w:pPr>
    </w:p>
    <w:p>
      <w:pPr>
        <w:spacing w:before="0"/>
        <w:ind w:left="854" w:right="823" w:firstLine="0"/>
        <w:jc w:val="center"/>
        <w:rPr>
          <w:sz w:val="17"/>
        </w:rPr>
      </w:pPr>
      <w:r>
        <w:rPr>
          <w:color w:val="3B3838"/>
          <w:spacing w:val="-5"/>
          <w:w w:val="105"/>
          <w:sz w:val="17"/>
        </w:rPr>
        <w:t>72</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73" w:id="17"/>
      <w:bookmarkEnd w:id="17"/>
      <w:r>
        <w:rPr/>
      </w:r>
      <w:r>
        <w:rPr>
          <w:i/>
          <w:color w:val="3B3838"/>
          <w:sz w:val="18"/>
        </w:rPr>
        <w:t>Mahbub</w:t>
      </w:r>
      <w:r>
        <w:rPr>
          <w:i/>
          <w:color w:val="565454"/>
          <w:sz w:val="18"/>
        </w:rPr>
        <w:t>/</w:t>
      </w:r>
      <w:r>
        <w:rPr>
          <w:i/>
          <w:color w:val="3B3838"/>
          <w:sz w:val="18"/>
        </w:rPr>
        <w:t>Comilla</w:t>
      </w:r>
      <w:r>
        <w:rPr>
          <w:i/>
          <w:color w:val="3B3838"/>
          <w:spacing w:val="-12"/>
          <w:sz w:val="18"/>
        </w:rPr>
        <w:t> </w:t>
      </w:r>
      <w:r>
        <w:rPr>
          <w:i/>
          <w:color w:val="3B3838"/>
          <w:sz w:val="18"/>
        </w:rPr>
        <w:t>Un</w:t>
      </w:r>
      <w:r>
        <w:rPr>
          <w:i/>
          <w:color w:val="131313"/>
          <w:sz w:val="18"/>
        </w:rPr>
        <w:t>i</w:t>
      </w:r>
      <w:r>
        <w:rPr>
          <w:i/>
          <w:color w:val="3B3838"/>
          <w:sz w:val="18"/>
        </w:rPr>
        <w:t>versity</w:t>
      </w:r>
      <w:r>
        <w:rPr>
          <w:i/>
          <w:color w:val="3B3838"/>
          <w:spacing w:val="-11"/>
          <w:sz w:val="18"/>
        </w:rPr>
        <w:t> </w:t>
      </w:r>
      <w:r>
        <w:rPr>
          <w:i/>
          <w:color w:val="3B3838"/>
          <w:sz w:val="18"/>
        </w:rPr>
        <w:t>Journal</w:t>
      </w:r>
      <w:r>
        <w:rPr>
          <w:i/>
          <w:color w:val="3B3838"/>
          <w:spacing w:val="-6"/>
          <w:sz w:val="18"/>
        </w:rPr>
        <w:t> </w:t>
      </w:r>
      <w:r>
        <w:rPr>
          <w:i/>
          <w:color w:val="3B3838"/>
          <w:sz w:val="18"/>
        </w:rPr>
        <w:t>of</w:t>
      </w:r>
      <w:r>
        <w:rPr>
          <w:i/>
          <w:color w:val="3B3838"/>
          <w:spacing w:val="-5"/>
          <w:sz w:val="18"/>
        </w:rPr>
        <w:t> </w:t>
      </w:r>
      <w:r>
        <w:rPr>
          <w:i/>
          <w:color w:val="3B3838"/>
          <w:sz w:val="18"/>
        </w:rPr>
        <w:t>Business</w:t>
      </w:r>
      <w:r>
        <w:rPr>
          <w:i/>
          <w:color w:val="3B3838"/>
          <w:spacing w:val="-2"/>
          <w:sz w:val="18"/>
        </w:rPr>
        <w:t> </w:t>
      </w:r>
      <w:r>
        <w:rPr>
          <w:i/>
          <w:color w:val="3B3838"/>
          <w:sz w:val="18"/>
        </w:rPr>
        <w:t>Studies</w:t>
      </w:r>
      <w:r>
        <w:rPr>
          <w:i/>
          <w:color w:val="3B3838"/>
          <w:spacing w:val="51"/>
          <w:sz w:val="18"/>
        </w:rPr>
        <w:t> </w:t>
      </w:r>
      <w:r>
        <w:rPr>
          <w:i/>
          <w:color w:val="131313"/>
          <w:sz w:val="18"/>
        </w:rPr>
        <w:t>IO</w:t>
      </w:r>
      <w:r>
        <w:rPr>
          <w:i/>
          <w:color w:val="131313"/>
          <w:spacing w:val="-11"/>
          <w:sz w:val="18"/>
        </w:rPr>
        <w:t> </w:t>
      </w:r>
      <w:r>
        <w:rPr>
          <w:i/>
          <w:color w:val="3B3838"/>
          <w:sz w:val="18"/>
        </w:rPr>
        <w:t>(2023)</w:t>
      </w:r>
      <w:r>
        <w:rPr>
          <w:i/>
          <w:color w:val="3B3838"/>
          <w:spacing w:val="-9"/>
          <w:sz w:val="18"/>
        </w:rPr>
        <w:t> </w:t>
      </w:r>
      <w:r>
        <w:rPr>
          <w:i/>
          <w:color w:val="3B3838"/>
          <w:sz w:val="18"/>
        </w:rPr>
        <w:t>5</w:t>
      </w:r>
      <w:r>
        <w:rPr>
          <w:color w:val="3B3838"/>
          <w:sz w:val="18"/>
        </w:rPr>
        <w:t>7</w:t>
      </w:r>
      <w:r>
        <w:rPr>
          <w:color w:val="131313"/>
          <w:sz w:val="18"/>
        </w:rPr>
        <w:t>-</w:t>
      </w:r>
      <w:r>
        <w:rPr>
          <w:i/>
          <w:color w:val="3B3838"/>
          <w:spacing w:val="-7"/>
          <w:sz w:val="18"/>
        </w:rPr>
        <w:t>77</w:t>
      </w:r>
    </w:p>
    <w:p>
      <w:pPr>
        <w:pStyle w:val="BodyText"/>
        <w:spacing w:before="176"/>
        <w:rPr>
          <w:i/>
          <w:sz w:val="20"/>
        </w:rPr>
      </w:pPr>
      <w:r>
        <w:rPr>
          <w:i/>
          <w:sz w:val="20"/>
        </w:rPr>
        <w:drawing>
          <wp:anchor distT="0" distB="0" distL="0" distR="0" allowOverlap="1" layoutInCell="1" locked="0" behindDoc="1" simplePos="0" relativeHeight="487611904">
            <wp:simplePos x="0" y="0"/>
            <wp:positionH relativeFrom="page">
              <wp:posOffset>1577398</wp:posOffset>
            </wp:positionH>
            <wp:positionV relativeFrom="paragraph">
              <wp:posOffset>273061</wp:posOffset>
            </wp:positionV>
            <wp:extent cx="4125687" cy="2025396"/>
            <wp:effectExtent l="0" t="0" r="0" b="0"/>
            <wp:wrapTopAndBottom/>
            <wp:docPr id="91" name="Image 91"/>
            <wp:cNvGraphicFramePr>
              <a:graphicFrameLocks/>
            </wp:cNvGraphicFramePr>
            <a:graphic>
              <a:graphicData uri="http://schemas.openxmlformats.org/drawingml/2006/picture">
                <pic:pic>
                  <pic:nvPicPr>
                    <pic:cNvPr id="91" name="Image 91"/>
                    <pic:cNvPicPr/>
                  </pic:nvPicPr>
                  <pic:blipFill>
                    <a:blip r:embed="rId11" cstate="print"/>
                    <a:stretch>
                      <a:fillRect/>
                    </a:stretch>
                  </pic:blipFill>
                  <pic:spPr>
                    <a:xfrm>
                      <a:off x="0" y="0"/>
                      <a:ext cx="4125687" cy="2025396"/>
                    </a:xfrm>
                    <a:prstGeom prst="rect">
                      <a:avLst/>
                    </a:prstGeom>
                  </pic:spPr>
                </pic:pic>
              </a:graphicData>
            </a:graphic>
          </wp:anchor>
        </w:drawing>
      </w:r>
    </w:p>
    <w:p>
      <w:pPr>
        <w:spacing w:before="129"/>
        <w:ind w:left="311" w:right="0" w:firstLine="0"/>
        <w:jc w:val="both"/>
        <w:rPr>
          <w:sz w:val="17"/>
        </w:rPr>
      </w:pPr>
      <w:r>
        <w:rPr>
          <w:b/>
          <w:color w:val="131313"/>
          <w:sz w:val="17"/>
        </w:rPr>
        <w:t>Figure</w:t>
      </w:r>
      <w:r>
        <w:rPr>
          <w:b/>
          <w:color w:val="131313"/>
          <w:spacing w:val="8"/>
          <w:sz w:val="17"/>
        </w:rPr>
        <w:t> </w:t>
      </w:r>
      <w:r>
        <w:rPr>
          <w:color w:val="131313"/>
          <w:sz w:val="17"/>
        </w:rPr>
        <w:t>3:</w:t>
      </w:r>
      <w:r>
        <w:rPr>
          <w:color w:val="131313"/>
          <w:spacing w:val="16"/>
          <w:sz w:val="17"/>
        </w:rPr>
        <w:t> </w:t>
      </w:r>
      <w:r>
        <w:rPr>
          <w:color w:val="131313"/>
          <w:sz w:val="17"/>
        </w:rPr>
        <w:t>Assessment</w:t>
      </w:r>
      <w:r>
        <w:rPr>
          <w:color w:val="131313"/>
          <w:spacing w:val="13"/>
          <w:sz w:val="17"/>
        </w:rPr>
        <w:t> </w:t>
      </w:r>
      <w:r>
        <w:rPr>
          <w:color w:val="131313"/>
          <w:sz w:val="17"/>
        </w:rPr>
        <w:t>of</w:t>
      </w:r>
      <w:r>
        <w:rPr>
          <w:color w:val="131313"/>
          <w:spacing w:val="-5"/>
          <w:sz w:val="17"/>
        </w:rPr>
        <w:t> </w:t>
      </w:r>
      <w:r>
        <w:rPr>
          <w:color w:val="131313"/>
          <w:sz w:val="17"/>
        </w:rPr>
        <w:t>Structural</w:t>
      </w:r>
      <w:r>
        <w:rPr>
          <w:color w:val="131313"/>
          <w:spacing w:val="16"/>
          <w:sz w:val="17"/>
        </w:rPr>
        <w:t> </w:t>
      </w:r>
      <w:r>
        <w:rPr>
          <w:color w:val="131313"/>
          <w:spacing w:val="-2"/>
          <w:sz w:val="17"/>
        </w:rPr>
        <w:t>Model</w:t>
      </w:r>
    </w:p>
    <w:p>
      <w:pPr>
        <w:pStyle w:val="ListParagraph"/>
        <w:numPr>
          <w:ilvl w:val="0"/>
          <w:numId w:val="1"/>
        </w:numPr>
        <w:tabs>
          <w:tab w:pos="522" w:val="left" w:leader="none"/>
        </w:tabs>
        <w:spacing w:line="240" w:lineRule="auto" w:before="137" w:after="0"/>
        <w:ind w:left="522" w:right="0" w:hanging="209"/>
        <w:jc w:val="left"/>
        <w:rPr>
          <w:b/>
          <w:color w:val="131313"/>
          <w:sz w:val="21"/>
        </w:rPr>
      </w:pPr>
      <w:r>
        <w:rPr>
          <w:b/>
          <w:color w:val="131313"/>
          <w:spacing w:val="-2"/>
          <w:sz w:val="21"/>
        </w:rPr>
        <w:t>Recommendations</w:t>
      </w:r>
    </w:p>
    <w:p>
      <w:pPr>
        <w:pStyle w:val="BodyText"/>
        <w:spacing w:line="266" w:lineRule="auto" w:before="143"/>
        <w:ind w:left="310" w:right="319"/>
        <w:jc w:val="both"/>
      </w:pPr>
      <w:r>
        <w:rPr>
          <w:color w:val="131313"/>
        </w:rPr>
        <w:t>Based on the dynamics of Training &amp; Development (T&amp;D), Training Motivation (TM), and Employee Productivity (EP) in the Readymade Garments Industry of Bangladesh following recommendations</w:t>
      </w:r>
      <w:r>
        <w:rPr>
          <w:color w:val="131313"/>
          <w:spacing w:val="-2"/>
        </w:rPr>
        <w:t> </w:t>
      </w:r>
      <w:r>
        <w:rPr>
          <w:color w:val="131313"/>
        </w:rPr>
        <w:t>can be proposed</w:t>
      </w:r>
      <w:r>
        <w:rPr>
          <w:color w:val="131313"/>
          <w:spacing w:val="40"/>
        </w:rPr>
        <w:t> </w:t>
      </w:r>
      <w:r>
        <w:rPr>
          <w:color w:val="131313"/>
        </w:rPr>
        <w:t>to optimize organizational performance:</w:t>
      </w:r>
    </w:p>
    <w:p>
      <w:pPr>
        <w:pStyle w:val="ListParagraph"/>
        <w:numPr>
          <w:ilvl w:val="0"/>
          <w:numId w:val="2"/>
        </w:numPr>
        <w:tabs>
          <w:tab w:pos="1004" w:val="left" w:leader="none"/>
        </w:tabs>
        <w:spacing w:line="266" w:lineRule="auto" w:before="99" w:after="0"/>
        <w:ind w:left="1004" w:right="307" w:hanging="336"/>
        <w:jc w:val="both"/>
        <w:rPr>
          <w:rFonts w:ascii="Arial"/>
          <w:b/>
          <w:color w:val="131313"/>
          <w:sz w:val="20"/>
        </w:rPr>
      </w:pPr>
      <w:r>
        <w:rPr>
          <w:color w:val="131313"/>
          <w:sz w:val="21"/>
        </w:rPr>
        <w:t>Design</w:t>
      </w:r>
      <w:r>
        <w:rPr>
          <w:color w:val="131313"/>
          <w:spacing w:val="40"/>
          <w:sz w:val="21"/>
        </w:rPr>
        <w:t> </w:t>
      </w:r>
      <w:r>
        <w:rPr>
          <w:color w:val="131313"/>
          <w:sz w:val="21"/>
        </w:rPr>
        <w:t>and</w:t>
      </w:r>
      <w:r>
        <w:rPr>
          <w:color w:val="131313"/>
          <w:spacing w:val="40"/>
          <w:sz w:val="21"/>
        </w:rPr>
        <w:t> </w:t>
      </w:r>
      <w:r>
        <w:rPr>
          <w:color w:val="131313"/>
          <w:sz w:val="21"/>
        </w:rPr>
        <w:t>implement</w:t>
      </w:r>
      <w:r>
        <w:rPr>
          <w:color w:val="131313"/>
          <w:spacing w:val="40"/>
          <w:sz w:val="21"/>
        </w:rPr>
        <w:t> </w:t>
      </w:r>
      <w:r>
        <w:rPr>
          <w:color w:val="131313"/>
          <w:sz w:val="21"/>
        </w:rPr>
        <w:t>T&amp;D</w:t>
      </w:r>
      <w:r>
        <w:rPr>
          <w:color w:val="131313"/>
          <w:spacing w:val="40"/>
          <w:sz w:val="21"/>
        </w:rPr>
        <w:t> </w:t>
      </w:r>
      <w:r>
        <w:rPr>
          <w:color w:val="131313"/>
          <w:sz w:val="21"/>
        </w:rPr>
        <w:t>programs</w:t>
      </w:r>
      <w:r>
        <w:rPr>
          <w:color w:val="131313"/>
          <w:spacing w:val="40"/>
          <w:sz w:val="21"/>
        </w:rPr>
        <w:t> </w:t>
      </w:r>
      <w:r>
        <w:rPr>
          <w:color w:val="131313"/>
          <w:sz w:val="21"/>
        </w:rPr>
        <w:t>customized</w:t>
      </w:r>
      <w:r>
        <w:rPr>
          <w:color w:val="131313"/>
          <w:spacing w:val="40"/>
          <w:sz w:val="21"/>
        </w:rPr>
        <w:t> </w:t>
      </w:r>
      <w:r>
        <w:rPr>
          <w:color w:val="131313"/>
          <w:sz w:val="21"/>
        </w:rPr>
        <w:t>to</w:t>
      </w:r>
      <w:r>
        <w:rPr>
          <w:color w:val="131313"/>
          <w:spacing w:val="40"/>
          <w:sz w:val="21"/>
        </w:rPr>
        <w:t> </w:t>
      </w:r>
      <w:r>
        <w:rPr>
          <w:color w:val="131313"/>
          <w:sz w:val="21"/>
        </w:rPr>
        <w:t>the</w:t>
      </w:r>
      <w:r>
        <w:rPr>
          <w:color w:val="131313"/>
          <w:spacing w:val="40"/>
          <w:sz w:val="21"/>
        </w:rPr>
        <w:t> </w:t>
      </w:r>
      <w:r>
        <w:rPr>
          <w:color w:val="131313"/>
          <w:sz w:val="21"/>
        </w:rPr>
        <w:t>specific</w:t>
      </w:r>
      <w:r>
        <w:rPr>
          <w:color w:val="131313"/>
          <w:spacing w:val="40"/>
          <w:sz w:val="21"/>
        </w:rPr>
        <w:t> </w:t>
      </w:r>
      <w:r>
        <w:rPr>
          <w:color w:val="131313"/>
          <w:sz w:val="21"/>
        </w:rPr>
        <w:t>needs</w:t>
      </w:r>
      <w:r>
        <w:rPr>
          <w:color w:val="131313"/>
          <w:spacing w:val="40"/>
          <w:sz w:val="21"/>
        </w:rPr>
        <w:t> </w:t>
      </w:r>
      <w:r>
        <w:rPr>
          <w:color w:val="131313"/>
          <w:sz w:val="21"/>
        </w:rPr>
        <w:t>and</w:t>
      </w:r>
      <w:r>
        <w:rPr>
          <w:color w:val="131313"/>
          <w:spacing w:val="38"/>
          <w:sz w:val="21"/>
        </w:rPr>
        <w:t> </w:t>
      </w:r>
      <w:r>
        <w:rPr>
          <w:color w:val="131313"/>
          <w:sz w:val="21"/>
        </w:rPr>
        <w:t>skill gaps</w:t>
      </w:r>
      <w:r>
        <w:rPr>
          <w:color w:val="131313"/>
          <w:spacing w:val="26"/>
          <w:sz w:val="21"/>
        </w:rPr>
        <w:t> </w:t>
      </w:r>
      <w:r>
        <w:rPr>
          <w:color w:val="131313"/>
          <w:sz w:val="21"/>
        </w:rPr>
        <w:t>prevalent</w:t>
      </w:r>
      <w:r>
        <w:rPr>
          <w:color w:val="131313"/>
          <w:spacing w:val="38"/>
          <w:sz w:val="21"/>
        </w:rPr>
        <w:t> </w:t>
      </w:r>
      <w:r>
        <w:rPr>
          <w:color w:val="131313"/>
          <w:sz w:val="21"/>
        </w:rPr>
        <w:t>in the Readymade</w:t>
      </w:r>
      <w:r>
        <w:rPr>
          <w:color w:val="131313"/>
          <w:spacing w:val="38"/>
          <w:sz w:val="21"/>
        </w:rPr>
        <w:t> </w:t>
      </w:r>
      <w:r>
        <w:rPr>
          <w:color w:val="131313"/>
          <w:sz w:val="21"/>
        </w:rPr>
        <w:t>Garments</w:t>
      </w:r>
      <w:r>
        <w:rPr>
          <w:color w:val="131313"/>
          <w:spacing w:val="35"/>
          <w:sz w:val="21"/>
        </w:rPr>
        <w:t> </w:t>
      </w:r>
      <w:r>
        <w:rPr>
          <w:color w:val="131313"/>
          <w:sz w:val="21"/>
        </w:rPr>
        <w:t>Industry.</w:t>
      </w:r>
      <w:r>
        <w:rPr>
          <w:color w:val="131313"/>
          <w:spacing w:val="28"/>
          <w:sz w:val="21"/>
        </w:rPr>
        <w:t> </w:t>
      </w:r>
      <w:r>
        <w:rPr>
          <w:color w:val="131313"/>
          <w:sz w:val="21"/>
        </w:rPr>
        <w:t>These</w:t>
      </w:r>
      <w:r>
        <w:rPr>
          <w:color w:val="131313"/>
          <w:spacing w:val="29"/>
          <w:sz w:val="21"/>
        </w:rPr>
        <w:t> </w:t>
      </w:r>
      <w:r>
        <w:rPr>
          <w:color w:val="131313"/>
          <w:sz w:val="21"/>
        </w:rPr>
        <w:t>programs</w:t>
      </w:r>
      <w:r>
        <w:rPr>
          <w:color w:val="131313"/>
          <w:spacing w:val="32"/>
          <w:sz w:val="21"/>
        </w:rPr>
        <w:t> </w:t>
      </w:r>
      <w:r>
        <w:rPr>
          <w:color w:val="131313"/>
          <w:sz w:val="21"/>
        </w:rPr>
        <w:t>should</w:t>
      </w:r>
      <w:r>
        <w:rPr>
          <w:color w:val="131313"/>
          <w:spacing w:val="33"/>
          <w:sz w:val="21"/>
        </w:rPr>
        <w:t> </w:t>
      </w:r>
      <w:r>
        <w:rPr>
          <w:color w:val="131313"/>
          <w:sz w:val="21"/>
        </w:rPr>
        <w:t>focus on enhancing technical skills, such as garment manufacturing techniques and quality control also addressing soft skills like communication and problem-solving skills thereby ensuring a well-rounded</w:t>
      </w:r>
      <w:r>
        <w:rPr>
          <w:color w:val="131313"/>
          <w:spacing w:val="40"/>
          <w:sz w:val="21"/>
        </w:rPr>
        <w:t> </w:t>
      </w:r>
      <w:r>
        <w:rPr>
          <w:color w:val="131313"/>
          <w:sz w:val="21"/>
        </w:rPr>
        <w:t>development approach.</w:t>
      </w:r>
    </w:p>
    <w:p>
      <w:pPr>
        <w:pStyle w:val="ListParagraph"/>
        <w:numPr>
          <w:ilvl w:val="0"/>
          <w:numId w:val="2"/>
        </w:numPr>
        <w:tabs>
          <w:tab w:pos="1004" w:val="left" w:leader="none"/>
          <w:tab w:pos="1006" w:val="left" w:leader="none"/>
        </w:tabs>
        <w:spacing w:line="266" w:lineRule="auto" w:before="63" w:after="0"/>
        <w:ind w:left="1004" w:right="312" w:hanging="344"/>
        <w:jc w:val="both"/>
        <w:rPr>
          <w:color w:val="131313"/>
          <w:sz w:val="21"/>
        </w:rPr>
      </w:pPr>
      <w:r>
        <w:rPr>
          <w:color w:val="131313"/>
          <w:sz w:val="21"/>
        </w:rPr>
        <w:t>Foster</w:t>
      </w:r>
      <w:r>
        <w:rPr>
          <w:color w:val="131313"/>
          <w:sz w:val="21"/>
        </w:rPr>
        <w:t> a</w:t>
      </w:r>
      <w:r>
        <w:rPr>
          <w:color w:val="131313"/>
          <w:spacing w:val="-3"/>
          <w:sz w:val="21"/>
        </w:rPr>
        <w:t> </w:t>
      </w:r>
      <w:r>
        <w:rPr>
          <w:color w:val="131313"/>
          <w:sz w:val="21"/>
        </w:rPr>
        <w:t>supportive and motivational work</w:t>
      </w:r>
      <w:r>
        <w:rPr>
          <w:color w:val="131313"/>
          <w:spacing w:val="-1"/>
          <w:sz w:val="21"/>
        </w:rPr>
        <w:t> </w:t>
      </w:r>
      <w:r>
        <w:rPr>
          <w:color w:val="131313"/>
          <w:sz w:val="21"/>
        </w:rPr>
        <w:t>environment that</w:t>
      </w:r>
      <w:r>
        <w:rPr>
          <w:color w:val="131313"/>
          <w:spacing w:val="-1"/>
          <w:sz w:val="21"/>
        </w:rPr>
        <w:t> </w:t>
      </w:r>
      <w:r>
        <w:rPr>
          <w:color w:val="131313"/>
          <w:sz w:val="21"/>
        </w:rPr>
        <w:t>encourages employees to actively engage in the training program. Recognize and reward individuals who demonstrate commitment to personal and professional development, thereby reinforcing a culture that values continuous learning.</w:t>
      </w:r>
    </w:p>
    <w:p>
      <w:pPr>
        <w:pStyle w:val="ListParagraph"/>
        <w:numPr>
          <w:ilvl w:val="0"/>
          <w:numId w:val="2"/>
        </w:numPr>
        <w:tabs>
          <w:tab w:pos="1004" w:val="left" w:leader="none"/>
        </w:tabs>
        <w:spacing w:line="266" w:lineRule="auto" w:before="62" w:after="0"/>
        <w:ind w:left="1004" w:right="312" w:hanging="348"/>
        <w:jc w:val="both"/>
        <w:rPr>
          <w:color w:val="131313"/>
          <w:sz w:val="21"/>
        </w:rPr>
      </w:pPr>
      <w:r>
        <w:rPr>
          <w:color w:val="131313"/>
          <w:sz w:val="21"/>
        </w:rPr>
        <w:t>Leverage</w:t>
      </w:r>
      <w:r>
        <w:rPr>
          <w:color w:val="131313"/>
          <w:spacing w:val="29"/>
          <w:sz w:val="21"/>
        </w:rPr>
        <w:t> </w:t>
      </w:r>
      <w:r>
        <w:rPr>
          <w:color w:val="131313"/>
          <w:sz w:val="21"/>
        </w:rPr>
        <w:t>technology</w:t>
      </w:r>
      <w:r>
        <w:rPr>
          <w:color w:val="131313"/>
          <w:spacing w:val="40"/>
          <w:sz w:val="21"/>
        </w:rPr>
        <w:t> </w:t>
      </w:r>
      <w:r>
        <w:rPr>
          <w:color w:val="131313"/>
          <w:sz w:val="21"/>
        </w:rPr>
        <w:t>to facilitate</w:t>
      </w:r>
      <w:r>
        <w:rPr>
          <w:color w:val="131313"/>
          <w:spacing w:val="33"/>
          <w:sz w:val="21"/>
        </w:rPr>
        <w:t> </w:t>
      </w:r>
      <w:r>
        <w:rPr>
          <w:color w:val="131313"/>
          <w:sz w:val="21"/>
        </w:rPr>
        <w:t>accessible</w:t>
      </w:r>
      <w:r>
        <w:rPr>
          <w:color w:val="131313"/>
          <w:spacing w:val="33"/>
          <w:sz w:val="21"/>
        </w:rPr>
        <w:t> </w:t>
      </w:r>
      <w:r>
        <w:rPr>
          <w:color w:val="131313"/>
          <w:sz w:val="21"/>
        </w:rPr>
        <w:t>and</w:t>
      </w:r>
      <w:r>
        <w:rPr>
          <w:color w:val="131313"/>
          <w:spacing w:val="33"/>
          <w:sz w:val="21"/>
        </w:rPr>
        <w:t> </w:t>
      </w:r>
      <w:r>
        <w:rPr>
          <w:color w:val="131313"/>
          <w:sz w:val="21"/>
        </w:rPr>
        <w:t>interactive</w:t>
      </w:r>
      <w:r>
        <w:rPr>
          <w:color w:val="131313"/>
          <w:spacing w:val="31"/>
          <w:sz w:val="21"/>
        </w:rPr>
        <w:t> </w:t>
      </w:r>
      <w:r>
        <w:rPr>
          <w:color w:val="131313"/>
          <w:sz w:val="21"/>
        </w:rPr>
        <w:t>training</w:t>
      </w:r>
      <w:r>
        <w:rPr>
          <w:color w:val="131313"/>
          <w:spacing w:val="27"/>
          <w:sz w:val="21"/>
        </w:rPr>
        <w:t> </w:t>
      </w:r>
      <w:r>
        <w:rPr>
          <w:color w:val="131313"/>
          <w:sz w:val="21"/>
        </w:rPr>
        <w:t>platforms</w:t>
      </w:r>
      <w:r>
        <w:rPr>
          <w:color w:val="3B3838"/>
          <w:sz w:val="21"/>
        </w:rPr>
        <w:t>, </w:t>
      </w:r>
      <w:r>
        <w:rPr>
          <w:color w:val="131313"/>
          <w:sz w:val="21"/>
        </w:rPr>
        <w:t>such as e-learning modules or virtual reality simulations</w:t>
      </w:r>
      <w:r>
        <w:rPr>
          <w:color w:val="3B3838"/>
          <w:sz w:val="21"/>
        </w:rPr>
        <w:t>.</w:t>
      </w:r>
      <w:r>
        <w:rPr>
          <w:color w:val="3B3838"/>
          <w:spacing w:val="-3"/>
          <w:sz w:val="21"/>
        </w:rPr>
        <w:t> </w:t>
      </w:r>
      <w:r>
        <w:rPr>
          <w:color w:val="131313"/>
          <w:sz w:val="21"/>
        </w:rPr>
        <w:t>These tools can enhance training motivation by engaging a flexible learning experience, particularly for remote or dispersed workforce segments within this ready-made garments industry.</w:t>
      </w:r>
    </w:p>
    <w:p>
      <w:pPr>
        <w:pStyle w:val="ListParagraph"/>
        <w:numPr>
          <w:ilvl w:val="0"/>
          <w:numId w:val="2"/>
        </w:numPr>
        <w:tabs>
          <w:tab w:pos="1004" w:val="left" w:leader="none"/>
          <w:tab w:pos="1006" w:val="left" w:leader="none"/>
        </w:tabs>
        <w:spacing w:line="266" w:lineRule="auto" w:before="62" w:after="0"/>
        <w:ind w:left="1004" w:right="313" w:hanging="347"/>
        <w:jc w:val="both"/>
        <w:rPr>
          <w:color w:val="131313"/>
          <w:sz w:val="21"/>
        </w:rPr>
      </w:pPr>
      <w:r>
        <w:rPr>
          <w:color w:val="131313"/>
          <w:sz w:val="21"/>
        </w:rPr>
        <w:t>Encourage</w:t>
      </w:r>
      <w:r>
        <w:rPr>
          <w:color w:val="131313"/>
          <w:spacing w:val="25"/>
          <w:sz w:val="21"/>
        </w:rPr>
        <w:t> </w:t>
      </w:r>
      <w:r>
        <w:rPr>
          <w:color w:val="131313"/>
          <w:sz w:val="21"/>
        </w:rPr>
        <w:t>leaders and</w:t>
      </w:r>
      <w:r>
        <w:rPr>
          <w:color w:val="131313"/>
          <w:spacing w:val="25"/>
          <w:sz w:val="21"/>
        </w:rPr>
        <w:t> </w:t>
      </w:r>
      <w:r>
        <w:rPr>
          <w:color w:val="131313"/>
          <w:sz w:val="21"/>
        </w:rPr>
        <w:t>managers</w:t>
      </w:r>
      <w:r>
        <w:rPr>
          <w:color w:val="131313"/>
          <w:spacing w:val="25"/>
          <w:sz w:val="21"/>
        </w:rPr>
        <w:t> </w:t>
      </w:r>
      <w:r>
        <w:rPr>
          <w:color w:val="131313"/>
          <w:sz w:val="21"/>
        </w:rPr>
        <w:t>to actively participate</w:t>
      </w:r>
      <w:r>
        <w:rPr>
          <w:color w:val="131313"/>
          <w:spacing w:val="27"/>
          <w:sz w:val="21"/>
        </w:rPr>
        <w:t> </w:t>
      </w:r>
      <w:r>
        <w:rPr>
          <w:color w:val="131313"/>
          <w:sz w:val="21"/>
        </w:rPr>
        <w:t>in T&amp;D initiatives and serve as role</w:t>
      </w:r>
      <w:r>
        <w:rPr>
          <w:color w:val="131313"/>
          <w:spacing w:val="20"/>
          <w:sz w:val="21"/>
        </w:rPr>
        <w:t> </w:t>
      </w:r>
      <w:r>
        <w:rPr>
          <w:color w:val="131313"/>
          <w:sz w:val="21"/>
        </w:rPr>
        <w:t>models</w:t>
      </w:r>
      <w:r>
        <w:rPr>
          <w:color w:val="131313"/>
          <w:spacing w:val="22"/>
          <w:sz w:val="21"/>
        </w:rPr>
        <w:t> </w:t>
      </w:r>
      <w:r>
        <w:rPr>
          <w:color w:val="131313"/>
          <w:sz w:val="21"/>
        </w:rPr>
        <w:t>for</w:t>
      </w:r>
      <w:r>
        <w:rPr>
          <w:color w:val="131313"/>
          <w:spacing w:val="18"/>
          <w:sz w:val="21"/>
        </w:rPr>
        <w:t> </w:t>
      </w:r>
      <w:r>
        <w:rPr>
          <w:color w:val="131313"/>
          <w:sz w:val="21"/>
        </w:rPr>
        <w:t>fostering</w:t>
      </w:r>
      <w:r>
        <w:rPr>
          <w:color w:val="131313"/>
          <w:spacing w:val="30"/>
          <w:sz w:val="21"/>
        </w:rPr>
        <w:t> </w:t>
      </w:r>
      <w:r>
        <w:rPr>
          <w:color w:val="131313"/>
          <w:sz w:val="21"/>
        </w:rPr>
        <w:t>a culture</w:t>
      </w:r>
      <w:r>
        <w:rPr>
          <w:color w:val="131313"/>
          <w:spacing w:val="18"/>
          <w:sz w:val="21"/>
        </w:rPr>
        <w:t> </w:t>
      </w:r>
      <w:r>
        <w:rPr>
          <w:color w:val="131313"/>
          <w:sz w:val="21"/>
        </w:rPr>
        <w:t>of</w:t>
      </w:r>
      <w:r>
        <w:rPr>
          <w:color w:val="131313"/>
          <w:spacing w:val="20"/>
          <w:sz w:val="21"/>
        </w:rPr>
        <w:t> </w:t>
      </w:r>
      <w:r>
        <w:rPr>
          <w:color w:val="131313"/>
          <w:sz w:val="21"/>
        </w:rPr>
        <w:t>learning</w:t>
      </w:r>
      <w:r>
        <w:rPr>
          <w:color w:val="131313"/>
          <w:spacing w:val="26"/>
          <w:sz w:val="21"/>
        </w:rPr>
        <w:t> </w:t>
      </w:r>
      <w:r>
        <w:rPr>
          <w:color w:val="131313"/>
          <w:sz w:val="21"/>
        </w:rPr>
        <w:t>within</w:t>
      </w:r>
      <w:r>
        <w:rPr>
          <w:color w:val="131313"/>
          <w:spacing w:val="29"/>
          <w:sz w:val="21"/>
        </w:rPr>
        <w:t> </w:t>
      </w:r>
      <w:r>
        <w:rPr>
          <w:color w:val="131313"/>
          <w:sz w:val="21"/>
        </w:rPr>
        <w:t>their</w:t>
      </w:r>
      <w:r>
        <w:rPr>
          <w:color w:val="131313"/>
          <w:spacing w:val="18"/>
          <w:sz w:val="21"/>
        </w:rPr>
        <w:t> </w:t>
      </w:r>
      <w:r>
        <w:rPr>
          <w:color w:val="131313"/>
          <w:sz w:val="21"/>
        </w:rPr>
        <w:t>teams</w:t>
      </w:r>
      <w:r>
        <w:rPr>
          <w:color w:val="3B3838"/>
          <w:sz w:val="21"/>
        </w:rPr>
        <w:t>.</w:t>
      </w:r>
      <w:r>
        <w:rPr>
          <w:color w:val="3B3838"/>
          <w:spacing w:val="-2"/>
          <w:sz w:val="21"/>
        </w:rPr>
        <w:t> </w:t>
      </w:r>
      <w:r>
        <w:rPr>
          <w:color w:val="131313"/>
          <w:sz w:val="21"/>
        </w:rPr>
        <w:t>Empower</w:t>
      </w:r>
      <w:r>
        <w:rPr>
          <w:color w:val="131313"/>
          <w:spacing w:val="31"/>
          <w:sz w:val="21"/>
        </w:rPr>
        <w:t> </w:t>
      </w:r>
      <w:r>
        <w:rPr>
          <w:color w:val="131313"/>
          <w:sz w:val="21"/>
        </w:rPr>
        <w:t>them to provide mentorship and guidance to employees</w:t>
      </w:r>
      <w:r>
        <w:rPr>
          <w:color w:val="3B3838"/>
          <w:sz w:val="21"/>
        </w:rPr>
        <w:t>, </w:t>
      </w:r>
      <w:r>
        <w:rPr>
          <w:color w:val="131313"/>
          <w:sz w:val="21"/>
        </w:rPr>
        <w:t>reinforcing the importance of training and its direct link to organizational success.</w:t>
      </w:r>
    </w:p>
    <w:p>
      <w:pPr>
        <w:pStyle w:val="ListParagraph"/>
        <w:numPr>
          <w:ilvl w:val="0"/>
          <w:numId w:val="2"/>
        </w:numPr>
        <w:tabs>
          <w:tab w:pos="1004" w:val="left" w:leader="none"/>
          <w:tab w:pos="1006" w:val="left" w:leader="none"/>
        </w:tabs>
        <w:spacing w:line="266" w:lineRule="auto" w:before="63" w:after="0"/>
        <w:ind w:left="1004" w:right="314" w:hanging="344"/>
        <w:jc w:val="both"/>
        <w:rPr>
          <w:color w:val="131313"/>
          <w:sz w:val="21"/>
        </w:rPr>
      </w:pPr>
      <w:r>
        <w:rPr>
          <w:color w:val="131313"/>
          <w:sz w:val="21"/>
        </w:rPr>
        <w:t>Implement</w:t>
      </w:r>
      <w:r>
        <w:rPr>
          <w:color w:val="131313"/>
          <w:spacing w:val="40"/>
          <w:sz w:val="21"/>
        </w:rPr>
        <w:t> </w:t>
      </w:r>
      <w:r>
        <w:rPr>
          <w:color w:val="131313"/>
          <w:sz w:val="21"/>
        </w:rPr>
        <w:t>regular</w:t>
      </w:r>
      <w:r>
        <w:rPr>
          <w:color w:val="131313"/>
          <w:spacing w:val="40"/>
          <w:sz w:val="21"/>
        </w:rPr>
        <w:t> </w:t>
      </w:r>
      <w:r>
        <w:rPr>
          <w:color w:val="131313"/>
          <w:sz w:val="21"/>
        </w:rPr>
        <w:t>assessments</w:t>
      </w:r>
      <w:r>
        <w:rPr>
          <w:color w:val="131313"/>
          <w:spacing w:val="40"/>
          <w:sz w:val="21"/>
        </w:rPr>
        <w:t> </w:t>
      </w:r>
      <w:r>
        <w:rPr>
          <w:color w:val="131313"/>
          <w:sz w:val="21"/>
        </w:rPr>
        <w:t>and</w:t>
      </w:r>
      <w:r>
        <w:rPr>
          <w:color w:val="131313"/>
          <w:spacing w:val="40"/>
          <w:sz w:val="21"/>
        </w:rPr>
        <w:t> </w:t>
      </w:r>
      <w:r>
        <w:rPr>
          <w:color w:val="131313"/>
          <w:sz w:val="21"/>
        </w:rPr>
        <w:t>feedback</w:t>
      </w:r>
      <w:r>
        <w:rPr>
          <w:color w:val="131313"/>
          <w:spacing w:val="40"/>
          <w:sz w:val="21"/>
        </w:rPr>
        <w:t> </w:t>
      </w:r>
      <w:r>
        <w:rPr>
          <w:color w:val="131313"/>
          <w:sz w:val="21"/>
        </w:rPr>
        <w:t>mechanism</w:t>
      </w:r>
      <w:r>
        <w:rPr>
          <w:color w:val="131313"/>
          <w:spacing w:val="40"/>
          <w:sz w:val="21"/>
        </w:rPr>
        <w:t> </w:t>
      </w:r>
      <w:r>
        <w:rPr>
          <w:color w:val="131313"/>
          <w:sz w:val="21"/>
        </w:rPr>
        <w:t>to</w:t>
      </w:r>
      <w:r>
        <w:rPr>
          <w:color w:val="131313"/>
          <w:spacing w:val="40"/>
          <w:sz w:val="21"/>
        </w:rPr>
        <w:t> </w:t>
      </w:r>
      <w:r>
        <w:rPr>
          <w:color w:val="131313"/>
          <w:sz w:val="21"/>
        </w:rPr>
        <w:t>evaluate</w:t>
      </w:r>
      <w:r>
        <w:rPr>
          <w:color w:val="131313"/>
          <w:spacing w:val="40"/>
          <w:sz w:val="21"/>
        </w:rPr>
        <w:t> </w:t>
      </w:r>
      <w:r>
        <w:rPr>
          <w:color w:val="131313"/>
          <w:sz w:val="21"/>
        </w:rPr>
        <w:t>the effectiveness of T&amp;D programs and measure its impact on employee productivity. Solicit input from employees to identify areas for improvement and adapt training strategies accordingly, ensuring alignment with evolving industry demands and workforce needs.</w:t>
      </w:r>
    </w:p>
    <w:p>
      <w:pPr>
        <w:pStyle w:val="BodyText"/>
      </w:pPr>
    </w:p>
    <w:p>
      <w:pPr>
        <w:pStyle w:val="BodyText"/>
      </w:pPr>
    </w:p>
    <w:p>
      <w:pPr>
        <w:pStyle w:val="BodyText"/>
        <w:spacing w:before="111"/>
      </w:pPr>
    </w:p>
    <w:p>
      <w:pPr>
        <w:spacing w:before="0"/>
        <w:ind w:left="857" w:right="823" w:firstLine="0"/>
        <w:jc w:val="center"/>
        <w:rPr>
          <w:sz w:val="17"/>
        </w:rPr>
      </w:pPr>
      <w:r>
        <w:rPr>
          <w:color w:val="3B3838"/>
          <w:spacing w:val="-5"/>
          <w:w w:val="105"/>
          <w:sz w:val="17"/>
        </w:rPr>
        <w:t>73</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74" w:id="18"/>
      <w:bookmarkEnd w:id="18"/>
      <w:r>
        <w:rPr/>
      </w:r>
      <w:r>
        <w:rPr>
          <w:i/>
          <w:color w:val="3B3838"/>
          <w:sz w:val="18"/>
        </w:rPr>
        <w:t>Mahbub</w:t>
      </w:r>
      <w:r>
        <w:rPr>
          <w:i/>
          <w:color w:val="565454"/>
          <w:sz w:val="18"/>
        </w:rPr>
        <w:t>/</w:t>
      </w:r>
      <w:r>
        <w:rPr>
          <w:i/>
          <w:color w:val="3B3838"/>
          <w:sz w:val="18"/>
        </w:rPr>
        <w:t>Comilla</w:t>
      </w:r>
      <w:r>
        <w:rPr>
          <w:i/>
          <w:color w:val="3B3838"/>
          <w:spacing w:val="-12"/>
          <w:sz w:val="18"/>
        </w:rPr>
        <w:t> </w:t>
      </w:r>
      <w:r>
        <w:rPr>
          <w:i/>
          <w:color w:val="3B3838"/>
          <w:sz w:val="18"/>
        </w:rPr>
        <w:t>Un</w:t>
      </w:r>
      <w:r>
        <w:rPr>
          <w:i/>
          <w:color w:val="111313"/>
          <w:sz w:val="18"/>
        </w:rPr>
        <w:t>i</w:t>
      </w:r>
      <w:r>
        <w:rPr>
          <w:i/>
          <w:color w:val="3B3838"/>
          <w:sz w:val="18"/>
        </w:rPr>
        <w:t>versity</w:t>
      </w:r>
      <w:r>
        <w:rPr>
          <w:i/>
          <w:color w:val="3B3838"/>
          <w:spacing w:val="-11"/>
          <w:sz w:val="18"/>
        </w:rPr>
        <w:t> </w:t>
      </w:r>
      <w:r>
        <w:rPr>
          <w:i/>
          <w:color w:val="3B3838"/>
          <w:sz w:val="18"/>
        </w:rPr>
        <w:t>Journal</w:t>
      </w:r>
      <w:r>
        <w:rPr>
          <w:i/>
          <w:color w:val="3B3838"/>
          <w:spacing w:val="-3"/>
          <w:sz w:val="18"/>
        </w:rPr>
        <w:t> </w:t>
      </w:r>
      <w:r>
        <w:rPr>
          <w:i/>
          <w:color w:val="3B3838"/>
          <w:sz w:val="18"/>
        </w:rPr>
        <w:t>of</w:t>
      </w:r>
      <w:r>
        <w:rPr>
          <w:i/>
          <w:color w:val="3B3838"/>
          <w:spacing w:val="-4"/>
          <w:sz w:val="18"/>
        </w:rPr>
        <w:t> </w:t>
      </w:r>
      <w:r>
        <w:rPr>
          <w:i/>
          <w:color w:val="3B3838"/>
          <w:sz w:val="18"/>
        </w:rPr>
        <w:t>Business</w:t>
      </w:r>
      <w:r>
        <w:rPr>
          <w:i/>
          <w:color w:val="3B3838"/>
          <w:spacing w:val="-1"/>
          <w:sz w:val="18"/>
        </w:rPr>
        <w:t> </w:t>
      </w:r>
      <w:r>
        <w:rPr>
          <w:i/>
          <w:color w:val="3B3838"/>
          <w:sz w:val="18"/>
        </w:rPr>
        <w:t>Studies</w:t>
      </w:r>
      <w:r>
        <w:rPr>
          <w:i/>
          <w:color w:val="3B3838"/>
          <w:spacing w:val="53"/>
          <w:sz w:val="18"/>
        </w:rPr>
        <w:t> </w:t>
      </w:r>
      <w:r>
        <w:rPr>
          <w:i/>
          <w:color w:val="111313"/>
          <w:sz w:val="18"/>
        </w:rPr>
        <w:t>IO</w:t>
      </w:r>
      <w:r>
        <w:rPr>
          <w:i/>
          <w:color w:val="111313"/>
          <w:spacing w:val="-11"/>
          <w:sz w:val="18"/>
        </w:rPr>
        <w:t> </w:t>
      </w:r>
      <w:r>
        <w:rPr>
          <w:i/>
          <w:color w:val="3B3838"/>
          <w:sz w:val="18"/>
        </w:rPr>
        <w:t>(2023)</w:t>
      </w:r>
      <w:r>
        <w:rPr>
          <w:i/>
          <w:color w:val="3B3838"/>
          <w:spacing w:val="-7"/>
          <w:sz w:val="18"/>
        </w:rPr>
        <w:t> </w:t>
      </w:r>
      <w:r>
        <w:rPr>
          <w:i/>
          <w:color w:val="3B3838"/>
          <w:sz w:val="18"/>
        </w:rPr>
        <w:t>5</w:t>
      </w:r>
      <w:r>
        <w:rPr>
          <w:color w:val="3B3838"/>
          <w:sz w:val="17"/>
        </w:rPr>
        <w:t>7</w:t>
      </w:r>
      <w:r>
        <w:rPr>
          <w:color w:val="111313"/>
          <w:sz w:val="17"/>
        </w:rPr>
        <w:t>-</w:t>
      </w:r>
      <w:r>
        <w:rPr>
          <w:i/>
          <w:color w:val="3B3838"/>
          <w:spacing w:val="-7"/>
          <w:sz w:val="18"/>
        </w:rPr>
        <w:t>77</w:t>
      </w:r>
    </w:p>
    <w:p>
      <w:pPr>
        <w:pStyle w:val="BodyText"/>
        <w:spacing w:before="149"/>
        <w:rPr>
          <w:i/>
          <w:sz w:val="18"/>
        </w:rPr>
      </w:pPr>
    </w:p>
    <w:p>
      <w:pPr>
        <w:pStyle w:val="BodyText"/>
        <w:spacing w:line="290" w:lineRule="auto"/>
        <w:ind w:left="311" w:right="312" w:firstLine="4"/>
        <w:jc w:val="both"/>
      </w:pPr>
      <w:r>
        <w:rPr>
          <w:color w:val="111313"/>
        </w:rPr>
        <w:t>By implementing these recommendations</w:t>
      </w:r>
      <w:r>
        <w:rPr>
          <w:color w:val="3B3838"/>
        </w:rPr>
        <w:t>, </w:t>
      </w:r>
      <w:r>
        <w:rPr>
          <w:color w:val="111313"/>
        </w:rPr>
        <w:t>organizations in the readymade garments industry</w:t>
      </w:r>
      <w:r>
        <w:rPr>
          <w:color w:val="111313"/>
          <w:spacing w:val="40"/>
        </w:rPr>
        <w:t> </w:t>
      </w:r>
      <w:r>
        <w:rPr>
          <w:color w:val="111313"/>
        </w:rPr>
        <w:t>of Bangladesh can cultivate and retain a motivated and skilled workforce</w:t>
      </w:r>
      <w:r>
        <w:rPr>
          <w:color w:val="3B3838"/>
        </w:rPr>
        <w:t>, </w:t>
      </w:r>
      <w:r>
        <w:rPr>
          <w:color w:val="111313"/>
        </w:rPr>
        <w:t>thereby driving enhanced</w:t>
      </w:r>
      <w:r>
        <w:rPr>
          <w:color w:val="111313"/>
          <w:spacing w:val="40"/>
        </w:rPr>
        <w:t> </w:t>
      </w:r>
      <w:r>
        <w:rPr>
          <w:color w:val="111313"/>
        </w:rPr>
        <w:t>productivity,</w:t>
      </w:r>
      <w:r>
        <w:rPr>
          <w:color w:val="111313"/>
          <w:spacing w:val="40"/>
        </w:rPr>
        <w:t> </w:t>
      </w:r>
      <w:r>
        <w:rPr>
          <w:color w:val="111313"/>
        </w:rPr>
        <w:t>competitiveness, and</w:t>
      </w:r>
      <w:r>
        <w:rPr>
          <w:color w:val="111313"/>
          <w:spacing w:val="40"/>
        </w:rPr>
        <w:t> </w:t>
      </w:r>
      <w:r>
        <w:rPr>
          <w:color w:val="111313"/>
        </w:rPr>
        <w:t>sustainable</w:t>
      </w:r>
      <w:r>
        <w:rPr>
          <w:color w:val="111313"/>
          <w:spacing w:val="40"/>
        </w:rPr>
        <w:t> </w:t>
      </w:r>
      <w:r>
        <w:rPr>
          <w:color w:val="111313"/>
        </w:rPr>
        <w:t>growth</w:t>
      </w:r>
      <w:r>
        <w:rPr>
          <w:color w:val="111313"/>
          <w:spacing w:val="40"/>
        </w:rPr>
        <w:t> </w:t>
      </w:r>
      <w:r>
        <w:rPr>
          <w:color w:val="111313"/>
        </w:rPr>
        <w:t>in</w:t>
      </w:r>
      <w:r>
        <w:rPr>
          <w:color w:val="111313"/>
          <w:spacing w:val="40"/>
        </w:rPr>
        <w:t> </w:t>
      </w:r>
      <w:r>
        <w:rPr>
          <w:color w:val="111313"/>
        </w:rPr>
        <w:t>the</w:t>
      </w:r>
      <w:r>
        <w:rPr>
          <w:color w:val="111313"/>
          <w:spacing w:val="40"/>
        </w:rPr>
        <w:t> </w:t>
      </w:r>
      <w:r>
        <w:rPr>
          <w:color w:val="111313"/>
        </w:rPr>
        <w:t>dynamic</w:t>
      </w:r>
      <w:r>
        <w:rPr>
          <w:color w:val="111313"/>
          <w:spacing w:val="40"/>
        </w:rPr>
        <w:t> </w:t>
      </w:r>
      <w:r>
        <w:rPr>
          <w:color w:val="111313"/>
        </w:rPr>
        <w:t>global </w:t>
      </w:r>
      <w:r>
        <w:rPr>
          <w:color w:val="111313"/>
          <w:spacing w:val="-2"/>
        </w:rPr>
        <w:t>market.</w:t>
      </w:r>
    </w:p>
    <w:p>
      <w:pPr>
        <w:pStyle w:val="ListParagraph"/>
        <w:numPr>
          <w:ilvl w:val="0"/>
          <w:numId w:val="1"/>
        </w:numPr>
        <w:tabs>
          <w:tab w:pos="632" w:val="left" w:leader="none"/>
        </w:tabs>
        <w:spacing w:line="240" w:lineRule="auto" w:before="114" w:after="0"/>
        <w:ind w:left="632" w:right="0" w:hanging="316"/>
        <w:jc w:val="both"/>
        <w:rPr>
          <w:b/>
          <w:color w:val="111313"/>
          <w:sz w:val="20"/>
        </w:rPr>
      </w:pPr>
      <w:r>
        <w:rPr>
          <w:b/>
          <w:color w:val="111313"/>
          <w:w w:val="105"/>
          <w:sz w:val="20"/>
        </w:rPr>
        <w:t>Research</w:t>
      </w:r>
      <w:r>
        <w:rPr>
          <w:b/>
          <w:color w:val="111313"/>
          <w:spacing w:val="5"/>
          <w:w w:val="105"/>
          <w:sz w:val="20"/>
        </w:rPr>
        <w:t> </w:t>
      </w:r>
      <w:r>
        <w:rPr>
          <w:b/>
          <w:color w:val="111313"/>
          <w:spacing w:val="-2"/>
          <w:w w:val="105"/>
          <w:sz w:val="20"/>
        </w:rPr>
        <w:t>Contributions</w:t>
      </w:r>
    </w:p>
    <w:p>
      <w:pPr>
        <w:pStyle w:val="BodyText"/>
        <w:spacing w:line="290" w:lineRule="auto" w:before="150"/>
        <w:ind w:left="312" w:right="314" w:firstLine="1"/>
        <w:jc w:val="both"/>
      </w:pPr>
      <w:r>
        <w:rPr>
          <w:color w:val="111313"/>
        </w:rPr>
        <w:t>The research investigates the relationship between Training &amp; Development (T&amp;D), Training Motivation (TM), and Employee Productivity (EP) in the Readymade Garments Industry of Bangladesh. However, below mentioned some significant theoretical and practical contributions have been observed.</w:t>
      </w:r>
    </w:p>
    <w:p>
      <w:pPr>
        <w:spacing w:before="115"/>
        <w:ind w:left="312" w:right="0" w:firstLine="0"/>
        <w:jc w:val="both"/>
        <w:rPr>
          <w:b/>
          <w:sz w:val="20"/>
        </w:rPr>
      </w:pPr>
      <w:r>
        <w:rPr>
          <w:b/>
          <w:color w:val="111313"/>
          <w:w w:val="105"/>
          <w:sz w:val="20"/>
        </w:rPr>
        <w:t>Theoretical</w:t>
      </w:r>
      <w:r>
        <w:rPr>
          <w:b/>
          <w:color w:val="111313"/>
          <w:spacing w:val="6"/>
          <w:w w:val="105"/>
          <w:sz w:val="20"/>
        </w:rPr>
        <w:t> </w:t>
      </w:r>
      <w:r>
        <w:rPr>
          <w:b/>
          <w:color w:val="111313"/>
          <w:spacing w:val="-2"/>
          <w:w w:val="105"/>
          <w:sz w:val="20"/>
        </w:rPr>
        <w:t>Contribution</w:t>
      </w:r>
    </w:p>
    <w:p>
      <w:pPr>
        <w:pStyle w:val="BodyText"/>
        <w:spacing w:line="290" w:lineRule="auto" w:before="145"/>
        <w:ind w:left="312" w:right="317" w:firstLine="3"/>
        <w:jc w:val="both"/>
      </w:pPr>
      <w:r>
        <w:rPr>
          <w:color w:val="111313"/>
        </w:rPr>
        <w:t>By examining the mediating role of TM in the relationship between T&amp;D and EP, the study contributes to the theoretical understanding of how motivational factors influence the effectiveness</w:t>
      </w:r>
      <w:r>
        <w:rPr>
          <w:color w:val="111313"/>
          <w:spacing w:val="40"/>
        </w:rPr>
        <w:t> </w:t>
      </w:r>
      <w:r>
        <w:rPr>
          <w:color w:val="111313"/>
        </w:rPr>
        <w:t>of T&amp;D initiatives. This sheds light on the underlying mechanisms through which T&amp;D impacts EP, enriching existing theoretical frameworks such as</w:t>
      </w:r>
      <w:r>
        <w:rPr>
          <w:color w:val="111313"/>
          <w:spacing w:val="-5"/>
        </w:rPr>
        <w:t> </w:t>
      </w:r>
      <w:r>
        <w:rPr>
          <w:color w:val="111313"/>
        </w:rPr>
        <w:t>expectancy theory and self-determination theory. The study integrates perspectives from organizational behavior and educational psychology to provide a holistic understanding of the dynamics shaping productivity outcomes in the readymade garments industry.</w:t>
      </w:r>
    </w:p>
    <w:p>
      <w:pPr>
        <w:spacing w:before="122"/>
        <w:ind w:left="314" w:right="0" w:firstLine="0"/>
        <w:jc w:val="both"/>
        <w:rPr>
          <w:b/>
          <w:sz w:val="20"/>
        </w:rPr>
      </w:pPr>
      <w:r>
        <w:rPr>
          <w:b/>
          <w:color w:val="111313"/>
          <w:w w:val="105"/>
          <w:sz w:val="20"/>
        </w:rPr>
        <w:t>Practical</w:t>
      </w:r>
      <w:r>
        <w:rPr>
          <w:b/>
          <w:color w:val="111313"/>
          <w:spacing w:val="1"/>
          <w:w w:val="105"/>
          <w:sz w:val="20"/>
        </w:rPr>
        <w:t> </w:t>
      </w:r>
      <w:r>
        <w:rPr>
          <w:b/>
          <w:color w:val="111313"/>
          <w:spacing w:val="-2"/>
          <w:w w:val="105"/>
          <w:sz w:val="20"/>
        </w:rPr>
        <w:t>Contribution</w:t>
      </w:r>
    </w:p>
    <w:p>
      <w:pPr>
        <w:pStyle w:val="BodyText"/>
        <w:spacing w:line="290" w:lineRule="auto" w:before="145"/>
        <w:ind w:left="312" w:right="311"/>
        <w:jc w:val="both"/>
      </w:pPr>
      <w:r>
        <w:rPr>
          <w:color w:val="111313"/>
        </w:rPr>
        <w:t>The findings offer practical insights for organizations in the readymade garments industry to design and implement more effective T&amp;D programs tailored to the needs and motivations of their workforce. By understanding the mediating role of TM, organizations can develop strategies to enhance training motivation and maximize the impact of T&amp;D initiatives on EP. The</w:t>
      </w:r>
      <w:r>
        <w:rPr>
          <w:color w:val="111313"/>
          <w:spacing w:val="40"/>
        </w:rPr>
        <w:t> </w:t>
      </w:r>
      <w:r>
        <w:rPr>
          <w:color w:val="111313"/>
        </w:rPr>
        <w:t>study provides</w:t>
      </w:r>
      <w:r>
        <w:rPr>
          <w:color w:val="111313"/>
          <w:spacing w:val="40"/>
        </w:rPr>
        <w:t> </w:t>
      </w:r>
      <w:r>
        <w:rPr>
          <w:color w:val="111313"/>
        </w:rPr>
        <w:t>practical</w:t>
      </w:r>
      <w:r>
        <w:rPr>
          <w:color w:val="111313"/>
          <w:spacing w:val="40"/>
        </w:rPr>
        <w:t> </w:t>
      </w:r>
      <w:r>
        <w:rPr>
          <w:color w:val="111313"/>
        </w:rPr>
        <w:t>guidance</w:t>
      </w:r>
      <w:r>
        <w:rPr>
          <w:color w:val="111313"/>
          <w:spacing w:val="40"/>
        </w:rPr>
        <w:t> </w:t>
      </w:r>
      <w:r>
        <w:rPr>
          <w:color w:val="111313"/>
        </w:rPr>
        <w:t>for HR practitioners</w:t>
      </w:r>
      <w:r>
        <w:rPr>
          <w:color w:val="111313"/>
          <w:spacing w:val="40"/>
        </w:rPr>
        <w:t> </w:t>
      </w:r>
      <w:r>
        <w:rPr>
          <w:color w:val="111313"/>
        </w:rPr>
        <w:t>and</w:t>
      </w:r>
      <w:r>
        <w:rPr>
          <w:color w:val="111313"/>
          <w:spacing w:val="40"/>
        </w:rPr>
        <w:t> </w:t>
      </w:r>
      <w:r>
        <w:rPr>
          <w:color w:val="111313"/>
        </w:rPr>
        <w:t>organizational</w:t>
      </w:r>
      <w:r>
        <w:rPr>
          <w:color w:val="111313"/>
          <w:spacing w:val="40"/>
        </w:rPr>
        <w:t> </w:t>
      </w:r>
      <w:r>
        <w:rPr>
          <w:color w:val="111313"/>
        </w:rPr>
        <w:t>leaders</w:t>
      </w:r>
      <w:r>
        <w:rPr>
          <w:color w:val="111313"/>
          <w:spacing w:val="40"/>
        </w:rPr>
        <w:t> </w:t>
      </w:r>
      <w:r>
        <w:rPr>
          <w:color w:val="111313"/>
        </w:rPr>
        <w:t>to foster a culture of learning and development within their organization. By emphasizing the importance of training motivation and its impact on EP, organizations can align their </w:t>
      </w:r>
      <w:r>
        <w:rPr>
          <w:b/>
          <w:color w:val="111313"/>
        </w:rPr>
        <w:t>HR </w:t>
      </w:r>
      <w:r>
        <w:rPr>
          <w:color w:val="111313"/>
        </w:rPr>
        <w:t>strategies with business objectives. Ultimately organizations would be</w:t>
      </w:r>
      <w:r>
        <w:rPr>
          <w:color w:val="111313"/>
          <w:spacing w:val="-3"/>
        </w:rPr>
        <w:t> </w:t>
      </w:r>
      <w:r>
        <w:rPr>
          <w:color w:val="111313"/>
        </w:rPr>
        <w:t>able to drive improved productivity and competitiveness in the industry.</w:t>
      </w:r>
    </w:p>
    <w:p>
      <w:pPr>
        <w:pStyle w:val="ListParagraph"/>
        <w:numPr>
          <w:ilvl w:val="0"/>
          <w:numId w:val="1"/>
        </w:numPr>
        <w:tabs>
          <w:tab w:pos="636" w:val="left" w:leader="none"/>
        </w:tabs>
        <w:spacing w:line="240" w:lineRule="auto" w:before="119" w:after="0"/>
        <w:ind w:left="636" w:right="0" w:hanging="320"/>
        <w:jc w:val="both"/>
        <w:rPr>
          <w:b/>
          <w:color w:val="111313"/>
          <w:sz w:val="20"/>
        </w:rPr>
      </w:pPr>
      <w:r>
        <w:rPr>
          <w:b/>
          <w:color w:val="111313"/>
          <w:w w:val="105"/>
          <w:sz w:val="20"/>
        </w:rPr>
        <w:t>Future</w:t>
      </w:r>
      <w:r>
        <w:rPr>
          <w:b/>
          <w:color w:val="111313"/>
          <w:spacing w:val="1"/>
          <w:w w:val="105"/>
          <w:sz w:val="20"/>
        </w:rPr>
        <w:t> </w:t>
      </w:r>
      <w:r>
        <w:rPr>
          <w:b/>
          <w:color w:val="111313"/>
          <w:w w:val="105"/>
          <w:sz w:val="20"/>
        </w:rPr>
        <w:t>Research</w:t>
      </w:r>
      <w:r>
        <w:rPr>
          <w:b/>
          <w:color w:val="111313"/>
          <w:spacing w:val="-2"/>
          <w:w w:val="105"/>
          <w:sz w:val="20"/>
        </w:rPr>
        <w:t> Directions</w:t>
      </w:r>
    </w:p>
    <w:p>
      <w:pPr>
        <w:pStyle w:val="BodyText"/>
        <w:spacing w:line="292" w:lineRule="auto" w:before="145"/>
        <w:ind w:left="312" w:right="314" w:firstLine="4"/>
        <w:jc w:val="both"/>
      </w:pPr>
      <w:r>
        <w:rPr>
          <w:color w:val="111313"/>
        </w:rPr>
        <w:t>Future research in the readymade garments industry of Bangladesh should delve deeper into</w:t>
      </w:r>
      <w:r>
        <w:rPr>
          <w:color w:val="111313"/>
          <w:spacing w:val="40"/>
        </w:rPr>
        <w:t> </w:t>
      </w:r>
      <w:r>
        <w:rPr>
          <w:color w:val="111313"/>
        </w:rPr>
        <w:t>the nuanced mechanisms underlying the relationship between Training &amp; Development</w:t>
      </w:r>
      <w:r>
        <w:rPr>
          <w:color w:val="111313"/>
          <w:spacing w:val="40"/>
        </w:rPr>
        <w:t> </w:t>
      </w:r>
      <w:r>
        <w:rPr>
          <w:color w:val="111313"/>
        </w:rPr>
        <w:t>(T&amp;D), Training Motivation (TM), and Employee Productivity (EP)</w:t>
      </w:r>
      <w:r>
        <w:rPr>
          <w:color w:val="3B3838"/>
        </w:rPr>
        <w:t>, </w:t>
      </w:r>
      <w:r>
        <w:rPr>
          <w:color w:val="111313"/>
        </w:rPr>
        <w:t>focusing on several key areas. </w:t>
      </w:r>
      <w:r>
        <w:rPr>
          <w:i/>
          <w:color w:val="111313"/>
        </w:rPr>
        <w:t>Firstly, </w:t>
      </w:r>
      <w:r>
        <w:rPr>
          <w:color w:val="111313"/>
        </w:rPr>
        <w:t>longitudinal studies could investigate the sustainability</w:t>
      </w:r>
      <w:r>
        <w:rPr>
          <w:color w:val="111313"/>
          <w:spacing w:val="-2"/>
        </w:rPr>
        <w:t> </w:t>
      </w:r>
      <w:r>
        <w:rPr>
          <w:color w:val="111313"/>
        </w:rPr>
        <w:t>and long-term effects of </w:t>
      </w:r>
      <w:r>
        <w:rPr>
          <w:b/>
          <w:color w:val="111313"/>
          <w:sz w:val="20"/>
        </w:rPr>
        <w:t>T&amp;D </w:t>
      </w:r>
      <w:r>
        <w:rPr>
          <w:color w:val="111313"/>
        </w:rPr>
        <w:t>interventions on TM</w:t>
      </w:r>
      <w:r>
        <w:rPr>
          <w:color w:val="111313"/>
          <w:spacing w:val="-1"/>
        </w:rPr>
        <w:t> </w:t>
      </w:r>
      <w:r>
        <w:rPr>
          <w:color w:val="111313"/>
        </w:rPr>
        <w:t>and EP, providing insights into the durability of training outcomes over time. </w:t>
      </w:r>
      <w:r>
        <w:rPr>
          <w:i/>
          <w:color w:val="111313"/>
        </w:rPr>
        <w:t>Secondly, </w:t>
      </w:r>
      <w:r>
        <w:rPr>
          <w:color w:val="111313"/>
        </w:rPr>
        <w:t>qualitative inquiries could explore the subjective experience and contextual</w:t>
      </w:r>
      <w:r>
        <w:rPr>
          <w:color w:val="111313"/>
          <w:spacing w:val="52"/>
        </w:rPr>
        <w:t> </w:t>
      </w:r>
      <w:r>
        <w:rPr>
          <w:color w:val="111313"/>
        </w:rPr>
        <w:t>factors</w:t>
      </w:r>
      <w:r>
        <w:rPr>
          <w:color w:val="111313"/>
          <w:spacing w:val="43"/>
        </w:rPr>
        <w:t> </w:t>
      </w:r>
      <w:r>
        <w:rPr>
          <w:color w:val="111313"/>
        </w:rPr>
        <w:t>influencing</w:t>
      </w:r>
      <w:r>
        <w:rPr>
          <w:color w:val="111313"/>
          <w:spacing w:val="46"/>
        </w:rPr>
        <w:t> </w:t>
      </w:r>
      <w:r>
        <w:rPr>
          <w:color w:val="111313"/>
        </w:rPr>
        <w:t>training</w:t>
      </w:r>
      <w:r>
        <w:rPr>
          <w:color w:val="111313"/>
          <w:spacing w:val="43"/>
        </w:rPr>
        <w:t> </w:t>
      </w:r>
      <w:r>
        <w:rPr>
          <w:color w:val="111313"/>
        </w:rPr>
        <w:t>motivation</w:t>
      </w:r>
      <w:r>
        <w:rPr>
          <w:color w:val="111313"/>
          <w:spacing w:val="49"/>
        </w:rPr>
        <w:t> </w:t>
      </w:r>
      <w:r>
        <w:rPr>
          <w:color w:val="111313"/>
        </w:rPr>
        <w:t>and</w:t>
      </w:r>
      <w:r>
        <w:rPr>
          <w:color w:val="111313"/>
          <w:spacing w:val="49"/>
        </w:rPr>
        <w:t> </w:t>
      </w:r>
      <w:r>
        <w:rPr>
          <w:color w:val="111313"/>
        </w:rPr>
        <w:t>its</w:t>
      </w:r>
      <w:r>
        <w:rPr>
          <w:color w:val="111313"/>
          <w:spacing w:val="38"/>
        </w:rPr>
        <w:t> </w:t>
      </w:r>
      <w:r>
        <w:rPr>
          <w:color w:val="111313"/>
        </w:rPr>
        <w:t>impact</w:t>
      </w:r>
      <w:r>
        <w:rPr>
          <w:color w:val="111313"/>
          <w:spacing w:val="42"/>
        </w:rPr>
        <w:t> </w:t>
      </w:r>
      <w:r>
        <w:rPr>
          <w:color w:val="111313"/>
        </w:rPr>
        <w:t>on</w:t>
      </w:r>
      <w:r>
        <w:rPr>
          <w:color w:val="111313"/>
          <w:spacing w:val="36"/>
        </w:rPr>
        <w:t> </w:t>
      </w:r>
      <w:r>
        <w:rPr>
          <w:color w:val="111313"/>
        </w:rPr>
        <w:t>productivity</w:t>
      </w:r>
      <w:r>
        <w:rPr>
          <w:color w:val="3B3838"/>
        </w:rPr>
        <w:t>,</w:t>
      </w:r>
      <w:r>
        <w:rPr>
          <w:color w:val="3B3838"/>
          <w:spacing w:val="27"/>
        </w:rPr>
        <w:t> </w:t>
      </w:r>
      <w:r>
        <w:rPr>
          <w:color w:val="111313"/>
          <w:spacing w:val="-2"/>
        </w:rPr>
        <w:t>offering</w:t>
      </w:r>
    </w:p>
    <w:p>
      <w:pPr>
        <w:pStyle w:val="BodyText"/>
      </w:pPr>
    </w:p>
    <w:p>
      <w:pPr>
        <w:pStyle w:val="BodyText"/>
      </w:pPr>
    </w:p>
    <w:p>
      <w:pPr>
        <w:pStyle w:val="BodyText"/>
        <w:spacing w:before="221"/>
      </w:pPr>
    </w:p>
    <w:p>
      <w:pPr>
        <w:spacing w:before="0"/>
        <w:ind w:left="859" w:right="823" w:firstLine="0"/>
        <w:jc w:val="center"/>
        <w:rPr>
          <w:sz w:val="17"/>
        </w:rPr>
      </w:pPr>
      <w:r>
        <w:rPr>
          <w:color w:val="3B3838"/>
          <w:spacing w:val="-5"/>
          <w:w w:val="110"/>
          <w:sz w:val="17"/>
        </w:rPr>
        <w:t>74</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75" w:id="19"/>
      <w:bookmarkEnd w:id="19"/>
      <w:r>
        <w:rPr/>
      </w:r>
      <w:r>
        <w:rPr>
          <w:i/>
          <w:color w:val="3B3838"/>
          <w:sz w:val="18"/>
        </w:rPr>
        <w:t>Mahbub</w:t>
      </w:r>
      <w:r>
        <w:rPr>
          <w:i/>
          <w:color w:val="565454"/>
          <w:sz w:val="18"/>
        </w:rPr>
        <w:t>/</w:t>
      </w:r>
      <w:r>
        <w:rPr>
          <w:i/>
          <w:color w:val="3B3838"/>
          <w:sz w:val="18"/>
        </w:rPr>
        <w:t>Comilla</w:t>
      </w:r>
      <w:r>
        <w:rPr>
          <w:i/>
          <w:color w:val="3B3838"/>
          <w:spacing w:val="-12"/>
          <w:sz w:val="18"/>
        </w:rPr>
        <w:t> </w:t>
      </w:r>
      <w:r>
        <w:rPr>
          <w:i/>
          <w:color w:val="3B3838"/>
          <w:sz w:val="18"/>
        </w:rPr>
        <w:t>Un</w:t>
      </w:r>
      <w:r>
        <w:rPr>
          <w:i/>
          <w:color w:val="111313"/>
          <w:sz w:val="18"/>
        </w:rPr>
        <w:t>i</w:t>
      </w:r>
      <w:r>
        <w:rPr>
          <w:i/>
          <w:color w:val="3B3838"/>
          <w:sz w:val="18"/>
        </w:rPr>
        <w:t>versity</w:t>
      </w:r>
      <w:r>
        <w:rPr>
          <w:i/>
          <w:color w:val="3B3838"/>
          <w:spacing w:val="-11"/>
          <w:sz w:val="18"/>
        </w:rPr>
        <w:t> </w:t>
      </w:r>
      <w:r>
        <w:rPr>
          <w:i/>
          <w:color w:val="3B3838"/>
          <w:sz w:val="18"/>
        </w:rPr>
        <w:t>Journal</w:t>
      </w:r>
      <w:r>
        <w:rPr>
          <w:i/>
          <w:color w:val="3B3838"/>
          <w:spacing w:val="-3"/>
          <w:sz w:val="18"/>
        </w:rPr>
        <w:t> </w:t>
      </w:r>
      <w:r>
        <w:rPr>
          <w:i/>
          <w:color w:val="3B3838"/>
          <w:sz w:val="18"/>
        </w:rPr>
        <w:t>of</w:t>
      </w:r>
      <w:r>
        <w:rPr>
          <w:i/>
          <w:color w:val="3B3838"/>
          <w:spacing w:val="-4"/>
          <w:sz w:val="18"/>
        </w:rPr>
        <w:t> </w:t>
      </w:r>
      <w:r>
        <w:rPr>
          <w:i/>
          <w:color w:val="3B3838"/>
          <w:sz w:val="18"/>
        </w:rPr>
        <w:t>Business</w:t>
      </w:r>
      <w:r>
        <w:rPr>
          <w:i/>
          <w:color w:val="3B3838"/>
          <w:spacing w:val="-1"/>
          <w:sz w:val="18"/>
        </w:rPr>
        <w:t> </w:t>
      </w:r>
      <w:r>
        <w:rPr>
          <w:i/>
          <w:color w:val="3B3838"/>
          <w:sz w:val="18"/>
        </w:rPr>
        <w:t>Studies</w:t>
      </w:r>
      <w:r>
        <w:rPr>
          <w:i/>
          <w:color w:val="3B3838"/>
          <w:spacing w:val="53"/>
          <w:sz w:val="18"/>
        </w:rPr>
        <w:t> </w:t>
      </w:r>
      <w:r>
        <w:rPr>
          <w:i/>
          <w:color w:val="111313"/>
          <w:sz w:val="18"/>
        </w:rPr>
        <w:t>IO</w:t>
      </w:r>
      <w:r>
        <w:rPr>
          <w:i/>
          <w:color w:val="111313"/>
          <w:spacing w:val="-11"/>
          <w:sz w:val="18"/>
        </w:rPr>
        <w:t> </w:t>
      </w:r>
      <w:r>
        <w:rPr>
          <w:i/>
          <w:color w:val="3B3838"/>
          <w:sz w:val="18"/>
        </w:rPr>
        <w:t>(2023)</w:t>
      </w:r>
      <w:r>
        <w:rPr>
          <w:i/>
          <w:color w:val="3B3838"/>
          <w:spacing w:val="-7"/>
          <w:sz w:val="18"/>
        </w:rPr>
        <w:t> </w:t>
      </w:r>
      <w:r>
        <w:rPr>
          <w:i/>
          <w:color w:val="3B3838"/>
          <w:sz w:val="18"/>
        </w:rPr>
        <w:t>5</w:t>
      </w:r>
      <w:r>
        <w:rPr>
          <w:color w:val="3B3838"/>
          <w:sz w:val="17"/>
        </w:rPr>
        <w:t>7</w:t>
      </w:r>
      <w:r>
        <w:rPr>
          <w:color w:val="111313"/>
          <w:sz w:val="17"/>
        </w:rPr>
        <w:t>-</w:t>
      </w:r>
      <w:r>
        <w:rPr>
          <w:i/>
          <w:color w:val="3B3838"/>
          <w:spacing w:val="-7"/>
          <w:sz w:val="18"/>
        </w:rPr>
        <w:t>77</w:t>
      </w:r>
    </w:p>
    <w:p>
      <w:pPr>
        <w:pStyle w:val="BodyText"/>
        <w:spacing w:before="149"/>
        <w:rPr>
          <w:i/>
          <w:sz w:val="18"/>
        </w:rPr>
      </w:pPr>
    </w:p>
    <w:p>
      <w:pPr>
        <w:pStyle w:val="BodyText"/>
        <w:spacing w:line="290" w:lineRule="auto"/>
        <w:ind w:left="316" w:right="311" w:firstLine="1"/>
        <w:jc w:val="both"/>
      </w:pPr>
      <w:r>
        <w:rPr>
          <w:color w:val="111313"/>
        </w:rPr>
        <w:t>rich</w:t>
      </w:r>
      <w:r>
        <w:rPr>
          <w:color w:val="111313"/>
          <w:spacing w:val="40"/>
        </w:rPr>
        <w:t> </w:t>
      </w:r>
      <w:r>
        <w:rPr>
          <w:color w:val="111313"/>
        </w:rPr>
        <w:t>insights</w:t>
      </w:r>
      <w:r>
        <w:rPr>
          <w:color w:val="111313"/>
          <w:spacing w:val="40"/>
        </w:rPr>
        <w:t> </w:t>
      </w:r>
      <w:r>
        <w:rPr>
          <w:color w:val="111313"/>
        </w:rPr>
        <w:t>into</w:t>
      </w:r>
      <w:r>
        <w:rPr>
          <w:color w:val="111313"/>
          <w:spacing w:val="40"/>
        </w:rPr>
        <w:t> </w:t>
      </w:r>
      <w:r>
        <w:rPr>
          <w:color w:val="111313"/>
        </w:rPr>
        <w:t>the cultural</w:t>
      </w:r>
      <w:r>
        <w:rPr>
          <w:color w:val="111313"/>
          <w:spacing w:val="40"/>
        </w:rPr>
        <w:t> </w:t>
      </w:r>
      <w:r>
        <w:rPr>
          <w:color w:val="111313"/>
        </w:rPr>
        <w:t>and</w:t>
      </w:r>
      <w:r>
        <w:rPr>
          <w:color w:val="111313"/>
          <w:spacing w:val="40"/>
        </w:rPr>
        <w:t> </w:t>
      </w:r>
      <w:r>
        <w:rPr>
          <w:color w:val="111313"/>
        </w:rPr>
        <w:t>organizational dynamics.</w:t>
      </w:r>
      <w:r>
        <w:rPr>
          <w:color w:val="111313"/>
          <w:spacing w:val="40"/>
        </w:rPr>
        <w:t> </w:t>
      </w:r>
      <w:r>
        <w:rPr>
          <w:color w:val="111313"/>
        </w:rPr>
        <w:t>Additionally,</w:t>
      </w:r>
      <w:r>
        <w:rPr>
          <w:color w:val="111313"/>
          <w:spacing w:val="40"/>
        </w:rPr>
        <w:t> </w:t>
      </w:r>
      <w:r>
        <w:rPr>
          <w:color w:val="111313"/>
        </w:rPr>
        <w:t>comparative analyses</w:t>
      </w:r>
      <w:r>
        <w:rPr>
          <w:color w:val="111313"/>
          <w:spacing w:val="25"/>
        </w:rPr>
        <w:t> </w:t>
      </w:r>
      <w:r>
        <w:rPr>
          <w:color w:val="111313"/>
        </w:rPr>
        <w:t>across different</w:t>
      </w:r>
      <w:r>
        <w:rPr>
          <w:color w:val="111313"/>
          <w:spacing w:val="29"/>
        </w:rPr>
        <w:t> </w:t>
      </w:r>
      <w:r>
        <w:rPr>
          <w:color w:val="111313"/>
        </w:rPr>
        <w:t>sub-sectors</w:t>
      </w:r>
      <w:r>
        <w:rPr>
          <w:color w:val="111313"/>
          <w:spacing w:val="21"/>
        </w:rPr>
        <w:t> </w:t>
      </w:r>
      <w:r>
        <w:rPr>
          <w:color w:val="111313"/>
        </w:rPr>
        <w:t>or regions within</w:t>
      </w:r>
      <w:r>
        <w:rPr>
          <w:color w:val="111313"/>
          <w:spacing w:val="26"/>
        </w:rPr>
        <w:t> </w:t>
      </w:r>
      <w:r>
        <w:rPr>
          <w:color w:val="111313"/>
        </w:rPr>
        <w:t>the industry could</w:t>
      </w:r>
      <w:r>
        <w:rPr>
          <w:color w:val="111313"/>
          <w:spacing w:val="28"/>
        </w:rPr>
        <w:t> </w:t>
      </w:r>
      <w:r>
        <w:rPr>
          <w:color w:val="111313"/>
        </w:rPr>
        <w:t>uncover</w:t>
      </w:r>
      <w:r>
        <w:rPr>
          <w:color w:val="111313"/>
          <w:spacing w:val="25"/>
        </w:rPr>
        <w:t> </w:t>
      </w:r>
      <w:r>
        <w:rPr>
          <w:color w:val="111313"/>
        </w:rPr>
        <w:t>variations in training strategies and outcomes, informing tailored interventions and best practices. Furthermore</w:t>
      </w:r>
      <w:r>
        <w:rPr>
          <w:color w:val="3B3838"/>
        </w:rPr>
        <w:t>, </w:t>
      </w:r>
      <w:r>
        <w:rPr>
          <w:color w:val="111313"/>
        </w:rPr>
        <w:t>future research could explore potential mediating factors beyond training motivation,</w:t>
      </w:r>
      <w:r>
        <w:rPr>
          <w:color w:val="111313"/>
          <w:spacing w:val="40"/>
        </w:rPr>
        <w:t> </w:t>
      </w:r>
      <w:r>
        <w:rPr>
          <w:color w:val="111313"/>
        </w:rPr>
        <w:t>such as job satisfaction</w:t>
      </w:r>
      <w:r>
        <w:rPr>
          <w:color w:val="111313"/>
          <w:spacing w:val="40"/>
        </w:rPr>
        <w:t> </w:t>
      </w:r>
      <w:r>
        <w:rPr>
          <w:color w:val="111313"/>
        </w:rPr>
        <w:t>or organizational culture, to provide a more comprehensive understanding of the mechanisms driving productivity in the readymade garments</w:t>
      </w:r>
      <w:r>
        <w:rPr>
          <w:color w:val="111313"/>
          <w:spacing w:val="40"/>
        </w:rPr>
        <w:t> </w:t>
      </w:r>
      <w:r>
        <w:rPr>
          <w:color w:val="111313"/>
        </w:rPr>
        <w:t>industry</w:t>
      </w:r>
      <w:r>
        <w:rPr>
          <w:color w:val="111313"/>
          <w:spacing w:val="40"/>
        </w:rPr>
        <w:t> </w:t>
      </w:r>
      <w:r>
        <w:rPr>
          <w:color w:val="111313"/>
        </w:rPr>
        <w:t>of Bangladesh.</w:t>
      </w:r>
      <w:r>
        <w:rPr>
          <w:color w:val="111313"/>
          <w:spacing w:val="40"/>
        </w:rPr>
        <w:t> </w:t>
      </w:r>
      <w:r>
        <w:rPr>
          <w:color w:val="111313"/>
        </w:rPr>
        <w:t>By</w:t>
      </w:r>
      <w:r>
        <w:rPr>
          <w:color w:val="111313"/>
          <w:spacing w:val="38"/>
        </w:rPr>
        <w:t> </w:t>
      </w:r>
      <w:r>
        <w:rPr>
          <w:color w:val="111313"/>
        </w:rPr>
        <w:t>addressing</w:t>
      </w:r>
      <w:r>
        <w:rPr>
          <w:color w:val="111313"/>
          <w:spacing w:val="40"/>
        </w:rPr>
        <w:t> </w:t>
      </w:r>
      <w:r>
        <w:rPr>
          <w:color w:val="111313"/>
        </w:rPr>
        <w:t>these</w:t>
      </w:r>
      <w:r>
        <w:rPr>
          <w:color w:val="111313"/>
          <w:spacing w:val="38"/>
        </w:rPr>
        <w:t> </w:t>
      </w:r>
      <w:r>
        <w:rPr>
          <w:color w:val="111313"/>
        </w:rPr>
        <w:t>future</w:t>
      </w:r>
      <w:r>
        <w:rPr>
          <w:color w:val="111313"/>
          <w:spacing w:val="40"/>
        </w:rPr>
        <w:t> </w:t>
      </w:r>
      <w:r>
        <w:rPr>
          <w:color w:val="111313"/>
        </w:rPr>
        <w:t>research</w:t>
      </w:r>
      <w:r>
        <w:rPr>
          <w:color w:val="111313"/>
          <w:spacing w:val="40"/>
        </w:rPr>
        <w:t> </w:t>
      </w:r>
      <w:r>
        <w:rPr>
          <w:color w:val="111313"/>
        </w:rPr>
        <w:t>directions,</w:t>
      </w:r>
      <w:r>
        <w:rPr>
          <w:color w:val="111313"/>
          <w:spacing w:val="40"/>
        </w:rPr>
        <w:t> </w:t>
      </w:r>
      <w:r>
        <w:rPr>
          <w:color w:val="111313"/>
        </w:rPr>
        <w:t>scholars will contribute to advanced knowledge in workforce development and organizational effectiveness for achieving sustainable growth and competitiveness in the industry.</w:t>
      </w:r>
    </w:p>
    <w:p>
      <w:pPr>
        <w:pStyle w:val="ListParagraph"/>
        <w:numPr>
          <w:ilvl w:val="0"/>
          <w:numId w:val="1"/>
        </w:numPr>
        <w:tabs>
          <w:tab w:pos="637" w:val="left" w:leader="none"/>
        </w:tabs>
        <w:spacing w:line="240" w:lineRule="auto" w:before="119" w:after="0"/>
        <w:ind w:left="637" w:right="0" w:hanging="321"/>
        <w:jc w:val="both"/>
        <w:rPr>
          <w:b/>
          <w:color w:val="111313"/>
          <w:sz w:val="20"/>
        </w:rPr>
      </w:pPr>
      <w:r>
        <w:rPr>
          <w:b/>
          <w:color w:val="111313"/>
          <w:spacing w:val="-2"/>
          <w:w w:val="105"/>
          <w:sz w:val="20"/>
        </w:rPr>
        <w:t>Conclusions</w:t>
      </w:r>
    </w:p>
    <w:p>
      <w:pPr>
        <w:pStyle w:val="BodyText"/>
        <w:spacing w:line="290" w:lineRule="auto" w:before="150"/>
        <w:ind w:left="315" w:right="316" w:firstLine="2"/>
        <w:jc w:val="both"/>
      </w:pPr>
      <w:r>
        <w:rPr>
          <w:color w:val="111313"/>
        </w:rPr>
        <w:t>This study sheds light on the critical interplay between training and development</w:t>
      </w:r>
      <w:r>
        <w:rPr>
          <w:color w:val="3B3838"/>
        </w:rPr>
        <w:t>, </w:t>
      </w:r>
      <w:r>
        <w:rPr>
          <w:color w:val="111313"/>
        </w:rPr>
        <w:t>employee productivity, and the mediating role of training motivation within the readymade garments industry of Bangladesh. Through comprehensive analysis, it has become evident that investment in training and development program significantly contributes to enhance</w:t>
      </w:r>
      <w:r>
        <w:rPr>
          <w:color w:val="111313"/>
          <w:spacing w:val="40"/>
        </w:rPr>
        <w:t> </w:t>
      </w:r>
      <w:r>
        <w:rPr>
          <w:color w:val="111313"/>
        </w:rPr>
        <w:t>employee productivity in this industry.</w:t>
      </w:r>
    </w:p>
    <w:p>
      <w:pPr>
        <w:pStyle w:val="BodyText"/>
        <w:spacing w:line="292" w:lineRule="auto" w:before="101"/>
        <w:ind w:left="314" w:right="311" w:firstLine="4"/>
        <w:jc w:val="both"/>
      </w:pPr>
      <w:r>
        <w:rPr>
          <w:color w:val="111313"/>
        </w:rPr>
        <w:t>The findings underscore the importance of</w:t>
      </w:r>
      <w:r>
        <w:rPr>
          <w:color w:val="111313"/>
          <w:spacing w:val="-3"/>
        </w:rPr>
        <w:t> </w:t>
      </w:r>
      <w:r>
        <w:rPr>
          <w:color w:val="111313"/>
        </w:rPr>
        <w:t>fostering a culture of continuous learning and skill development within organizations, particularly in the dynamic and competitive landscape of</w:t>
      </w:r>
      <w:r>
        <w:rPr>
          <w:color w:val="111313"/>
          <w:spacing w:val="40"/>
        </w:rPr>
        <w:t> </w:t>
      </w:r>
      <w:r>
        <w:rPr>
          <w:color w:val="111313"/>
        </w:rPr>
        <w:t>the readymade</w:t>
      </w:r>
      <w:r>
        <w:rPr>
          <w:color w:val="111313"/>
          <w:spacing w:val="39"/>
        </w:rPr>
        <w:t> </w:t>
      </w:r>
      <w:r>
        <w:rPr>
          <w:color w:val="111313"/>
        </w:rPr>
        <w:t>garments sector. By providing employees</w:t>
      </w:r>
      <w:r>
        <w:rPr>
          <w:color w:val="111313"/>
          <w:spacing w:val="40"/>
        </w:rPr>
        <w:t> </w:t>
      </w:r>
      <w:r>
        <w:rPr>
          <w:color w:val="111313"/>
        </w:rPr>
        <w:t>with</w:t>
      </w:r>
      <w:r>
        <w:rPr>
          <w:color w:val="111313"/>
          <w:spacing w:val="40"/>
        </w:rPr>
        <w:t> </w:t>
      </w:r>
      <w:r>
        <w:rPr>
          <w:color w:val="111313"/>
        </w:rPr>
        <w:t>the opportunities</w:t>
      </w:r>
      <w:r>
        <w:rPr>
          <w:color w:val="111313"/>
          <w:spacing w:val="38"/>
        </w:rPr>
        <w:t> </w:t>
      </w:r>
      <w:r>
        <w:rPr>
          <w:color w:val="111313"/>
        </w:rPr>
        <w:t>of training and development organizations can empower their workforce to acquire new skills, improve existing</w:t>
      </w:r>
      <w:r>
        <w:rPr>
          <w:color w:val="111313"/>
          <w:spacing w:val="40"/>
        </w:rPr>
        <w:t> </w:t>
      </w:r>
      <w:r>
        <w:rPr>
          <w:color w:val="111313"/>
        </w:rPr>
        <w:t>ones</w:t>
      </w:r>
      <w:r>
        <w:rPr>
          <w:color w:val="111313"/>
          <w:spacing w:val="40"/>
        </w:rPr>
        <w:t> </w:t>
      </w:r>
      <w:r>
        <w:rPr>
          <w:color w:val="111313"/>
        </w:rPr>
        <w:t>and</w:t>
      </w:r>
      <w:r>
        <w:rPr>
          <w:color w:val="111313"/>
          <w:spacing w:val="40"/>
        </w:rPr>
        <w:t> </w:t>
      </w:r>
      <w:r>
        <w:rPr>
          <w:color w:val="111313"/>
        </w:rPr>
        <w:t>adapt</w:t>
      </w:r>
      <w:r>
        <w:rPr>
          <w:color w:val="111313"/>
          <w:spacing w:val="40"/>
        </w:rPr>
        <w:t> </w:t>
      </w:r>
      <w:r>
        <w:rPr>
          <w:color w:val="111313"/>
        </w:rPr>
        <w:t>to</w:t>
      </w:r>
      <w:r>
        <w:rPr>
          <w:color w:val="111313"/>
          <w:spacing w:val="40"/>
        </w:rPr>
        <w:t> </w:t>
      </w:r>
      <w:r>
        <w:rPr>
          <w:color w:val="111313"/>
        </w:rPr>
        <w:t>evolve</w:t>
      </w:r>
      <w:r>
        <w:rPr>
          <w:color w:val="111313"/>
          <w:spacing w:val="40"/>
        </w:rPr>
        <w:t> </w:t>
      </w:r>
      <w:r>
        <w:rPr>
          <w:color w:val="111313"/>
        </w:rPr>
        <w:t>job roles</w:t>
      </w:r>
      <w:r>
        <w:rPr>
          <w:color w:val="111313"/>
          <w:spacing w:val="40"/>
        </w:rPr>
        <w:t> </w:t>
      </w:r>
      <w:r>
        <w:rPr>
          <w:color w:val="111313"/>
        </w:rPr>
        <w:t>and</w:t>
      </w:r>
      <w:r>
        <w:rPr>
          <w:color w:val="111313"/>
          <w:spacing w:val="40"/>
        </w:rPr>
        <w:t> </w:t>
      </w:r>
      <w:r>
        <w:rPr>
          <w:color w:val="111313"/>
        </w:rPr>
        <w:t>responsibilities. Moreover,</w:t>
      </w:r>
      <w:r>
        <w:rPr>
          <w:color w:val="111313"/>
          <w:spacing w:val="40"/>
        </w:rPr>
        <w:t> </w:t>
      </w:r>
      <w:r>
        <w:rPr>
          <w:color w:val="111313"/>
        </w:rPr>
        <w:t>the study highlights the pivotal role of training motivation as a mediator in the relationship between training and development initiatives and employee productivity. Motivated employees are</w:t>
      </w:r>
      <w:r>
        <w:rPr>
          <w:color w:val="111313"/>
          <w:spacing w:val="40"/>
        </w:rPr>
        <w:t> </w:t>
      </w:r>
      <w:r>
        <w:rPr>
          <w:color w:val="111313"/>
        </w:rPr>
        <w:t>more likely to engage actively in training programs, leading to</w:t>
      </w:r>
      <w:r>
        <w:rPr>
          <w:color w:val="111313"/>
          <w:spacing w:val="-2"/>
        </w:rPr>
        <w:t> </w:t>
      </w:r>
      <w:r>
        <w:rPr>
          <w:color w:val="111313"/>
        </w:rPr>
        <w:t>greater knowledge acquisition, skill enhancement, and ultimately improved job performance and productivity. For stakeholders in the readymade garments industry of Bangladesh, these findings carry significant</w:t>
      </w:r>
      <w:r>
        <w:rPr>
          <w:color w:val="111313"/>
          <w:spacing w:val="40"/>
        </w:rPr>
        <w:t> </w:t>
      </w:r>
      <w:r>
        <w:rPr>
          <w:color w:val="111313"/>
        </w:rPr>
        <w:t>implications.</w:t>
      </w:r>
      <w:r>
        <w:rPr>
          <w:color w:val="111313"/>
          <w:spacing w:val="40"/>
        </w:rPr>
        <w:t> </w:t>
      </w:r>
      <w:r>
        <w:rPr>
          <w:color w:val="111313"/>
        </w:rPr>
        <w:t>This</w:t>
      </w:r>
      <w:r>
        <w:rPr>
          <w:color w:val="111313"/>
          <w:spacing w:val="40"/>
        </w:rPr>
        <w:t> </w:t>
      </w:r>
      <w:r>
        <w:rPr>
          <w:color w:val="111313"/>
        </w:rPr>
        <w:t>intrinsic</w:t>
      </w:r>
      <w:r>
        <w:rPr>
          <w:color w:val="111313"/>
          <w:spacing w:val="40"/>
        </w:rPr>
        <w:t> </w:t>
      </w:r>
      <w:r>
        <w:rPr>
          <w:color w:val="111313"/>
        </w:rPr>
        <w:t>link between</w:t>
      </w:r>
      <w:r>
        <w:rPr>
          <w:color w:val="111313"/>
          <w:spacing w:val="40"/>
        </w:rPr>
        <w:t> </w:t>
      </w:r>
      <w:r>
        <w:rPr>
          <w:color w:val="111313"/>
        </w:rPr>
        <w:t>training,</w:t>
      </w:r>
      <w:r>
        <w:rPr>
          <w:color w:val="111313"/>
          <w:spacing w:val="40"/>
        </w:rPr>
        <w:t> </w:t>
      </w:r>
      <w:r>
        <w:rPr>
          <w:color w:val="111313"/>
        </w:rPr>
        <w:t>motivation</w:t>
      </w:r>
      <w:r>
        <w:rPr>
          <w:color w:val="3B3838"/>
        </w:rPr>
        <w:t>, </w:t>
      </w:r>
      <w:r>
        <w:rPr>
          <w:color w:val="111313"/>
        </w:rPr>
        <w:t>and</w:t>
      </w:r>
      <w:r>
        <w:rPr>
          <w:color w:val="111313"/>
          <w:spacing w:val="40"/>
        </w:rPr>
        <w:t> </w:t>
      </w:r>
      <w:r>
        <w:rPr>
          <w:color w:val="111313"/>
        </w:rPr>
        <w:t>productivity play a vital role</w:t>
      </w:r>
      <w:r>
        <w:rPr>
          <w:color w:val="111313"/>
          <w:spacing w:val="40"/>
        </w:rPr>
        <w:t> </w:t>
      </w:r>
      <w:r>
        <w:rPr>
          <w:color w:val="111313"/>
        </w:rPr>
        <w:t>in the strategic decision-making processes aimed at maximizing the effectiveness of training and development investments.</w:t>
      </w:r>
    </w:p>
    <w:p>
      <w:pPr>
        <w:pStyle w:val="BodyText"/>
        <w:spacing w:line="290" w:lineRule="auto" w:before="83"/>
        <w:ind w:left="314" w:right="308" w:firstLine="2"/>
        <w:jc w:val="both"/>
      </w:pPr>
      <w:r>
        <w:rPr>
          <w:color w:val="111313"/>
        </w:rPr>
        <w:t>Furthermore,</w:t>
      </w:r>
      <w:r>
        <w:rPr>
          <w:color w:val="111313"/>
          <w:spacing w:val="40"/>
        </w:rPr>
        <w:t> </w:t>
      </w:r>
      <w:r>
        <w:rPr>
          <w:color w:val="111313"/>
        </w:rPr>
        <w:t>fostering</w:t>
      </w:r>
      <w:r>
        <w:rPr>
          <w:color w:val="111313"/>
          <w:spacing w:val="40"/>
        </w:rPr>
        <w:t> </w:t>
      </w:r>
      <w:r>
        <w:rPr>
          <w:color w:val="111313"/>
        </w:rPr>
        <w:t>a</w:t>
      </w:r>
      <w:r>
        <w:rPr>
          <w:color w:val="111313"/>
          <w:spacing w:val="40"/>
        </w:rPr>
        <w:t> </w:t>
      </w:r>
      <w:r>
        <w:rPr>
          <w:color w:val="111313"/>
        </w:rPr>
        <w:t>supportive</w:t>
      </w:r>
      <w:r>
        <w:rPr>
          <w:color w:val="111313"/>
          <w:spacing w:val="40"/>
        </w:rPr>
        <w:t> </w:t>
      </w:r>
      <w:r>
        <w:rPr>
          <w:color w:val="111313"/>
        </w:rPr>
        <w:t>working</w:t>
      </w:r>
      <w:r>
        <w:rPr>
          <w:color w:val="111313"/>
          <w:spacing w:val="40"/>
        </w:rPr>
        <w:t> </w:t>
      </w:r>
      <w:r>
        <w:rPr>
          <w:color w:val="111313"/>
        </w:rPr>
        <w:t>environment</w:t>
      </w:r>
      <w:r>
        <w:rPr>
          <w:color w:val="111313"/>
          <w:spacing w:val="40"/>
        </w:rPr>
        <w:t> </w:t>
      </w:r>
      <w:r>
        <w:rPr>
          <w:color w:val="111313"/>
        </w:rPr>
        <w:t>that</w:t>
      </w:r>
      <w:r>
        <w:rPr>
          <w:color w:val="111313"/>
          <w:spacing w:val="40"/>
        </w:rPr>
        <w:t> </w:t>
      </w:r>
      <w:r>
        <w:rPr>
          <w:color w:val="111313"/>
        </w:rPr>
        <w:t>pnontizes</w:t>
      </w:r>
      <w:r>
        <w:rPr>
          <w:color w:val="111313"/>
          <w:spacing w:val="40"/>
        </w:rPr>
        <w:t> </w:t>
      </w:r>
      <w:r>
        <w:rPr>
          <w:color w:val="111313"/>
        </w:rPr>
        <w:t>employee motivation and participation in the training activities could yield substantial benefits for individual employees</w:t>
      </w:r>
      <w:r>
        <w:rPr>
          <w:color w:val="3B3838"/>
        </w:rPr>
        <w:t>, </w:t>
      </w:r>
      <w:r>
        <w:rPr>
          <w:color w:val="111313"/>
        </w:rPr>
        <w:t>organizations, and the industry as a whole. Ultimately, by aligning training and development</w:t>
      </w:r>
      <w:r>
        <w:rPr>
          <w:color w:val="111313"/>
          <w:spacing w:val="40"/>
        </w:rPr>
        <w:t> </w:t>
      </w:r>
      <w:r>
        <w:rPr>
          <w:color w:val="111313"/>
        </w:rPr>
        <w:t>efforts with the employee</w:t>
      </w:r>
      <w:r>
        <w:rPr>
          <w:color w:val="111313"/>
          <w:spacing w:val="40"/>
        </w:rPr>
        <w:t> </w:t>
      </w:r>
      <w:r>
        <w:rPr>
          <w:color w:val="111313"/>
        </w:rPr>
        <w:t>motivation</w:t>
      </w:r>
      <w:r>
        <w:rPr>
          <w:color w:val="111313"/>
          <w:spacing w:val="40"/>
        </w:rPr>
        <w:t> </w:t>
      </w:r>
      <w:r>
        <w:rPr>
          <w:color w:val="111313"/>
        </w:rPr>
        <w:t>the readymade</w:t>
      </w:r>
      <w:r>
        <w:rPr>
          <w:color w:val="111313"/>
          <w:spacing w:val="40"/>
        </w:rPr>
        <w:t> </w:t>
      </w:r>
      <w:r>
        <w:rPr>
          <w:color w:val="111313"/>
        </w:rPr>
        <w:t>garments sector can position this industry for achieving sustained success and competitiveness in the global marketplace.</w:t>
      </w:r>
    </w:p>
    <w:p>
      <w:pPr>
        <w:pStyle w:val="BodyText"/>
      </w:pPr>
    </w:p>
    <w:p>
      <w:pPr>
        <w:pStyle w:val="BodyText"/>
      </w:pPr>
    </w:p>
    <w:p>
      <w:pPr>
        <w:pStyle w:val="BodyText"/>
      </w:pPr>
    </w:p>
    <w:p>
      <w:pPr>
        <w:pStyle w:val="BodyText"/>
      </w:pPr>
    </w:p>
    <w:p>
      <w:pPr>
        <w:pStyle w:val="BodyText"/>
      </w:pPr>
    </w:p>
    <w:p>
      <w:pPr>
        <w:pStyle w:val="BodyText"/>
        <w:spacing w:before="189"/>
      </w:pPr>
    </w:p>
    <w:p>
      <w:pPr>
        <w:spacing w:before="1"/>
        <w:ind w:left="854" w:right="823" w:firstLine="0"/>
        <w:jc w:val="center"/>
        <w:rPr>
          <w:sz w:val="17"/>
        </w:rPr>
      </w:pPr>
      <w:r>
        <w:rPr>
          <w:color w:val="3B3838"/>
          <w:spacing w:val="-5"/>
          <w:w w:val="105"/>
          <w:sz w:val="17"/>
        </w:rPr>
        <w:t>75</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76" w:id="20"/>
      <w:bookmarkEnd w:id="20"/>
      <w:r>
        <w:rPr/>
      </w:r>
      <w:r>
        <w:rPr>
          <w:i/>
          <w:color w:val="363636"/>
          <w:sz w:val="18"/>
        </w:rPr>
        <w:t>Mahbub/Comilla</w:t>
      </w:r>
      <w:r>
        <w:rPr>
          <w:i/>
          <w:color w:val="363636"/>
          <w:spacing w:val="-12"/>
          <w:sz w:val="18"/>
        </w:rPr>
        <w:t> </w:t>
      </w:r>
      <w:r>
        <w:rPr>
          <w:i/>
          <w:color w:val="464646"/>
          <w:sz w:val="18"/>
        </w:rPr>
        <w:t>Un</w:t>
      </w:r>
      <w:r>
        <w:rPr>
          <w:i/>
          <w:color w:val="181A1A"/>
          <w:sz w:val="18"/>
        </w:rPr>
        <w:t>i</w:t>
      </w:r>
      <w:r>
        <w:rPr>
          <w:i/>
          <w:color w:val="363636"/>
          <w:sz w:val="18"/>
        </w:rPr>
        <w:t>versity</w:t>
      </w:r>
      <w:r>
        <w:rPr>
          <w:i/>
          <w:color w:val="363636"/>
          <w:spacing w:val="-11"/>
          <w:sz w:val="18"/>
        </w:rPr>
        <w:t> </w:t>
      </w:r>
      <w:r>
        <w:rPr>
          <w:i/>
          <w:color w:val="363636"/>
          <w:sz w:val="18"/>
        </w:rPr>
        <w:t>Journal</w:t>
      </w:r>
      <w:r>
        <w:rPr>
          <w:i/>
          <w:color w:val="363636"/>
          <w:spacing w:val="-8"/>
          <w:sz w:val="18"/>
        </w:rPr>
        <w:t> </w:t>
      </w:r>
      <w:r>
        <w:rPr>
          <w:i/>
          <w:color w:val="363636"/>
          <w:sz w:val="18"/>
        </w:rPr>
        <w:t>of</w:t>
      </w:r>
      <w:r>
        <w:rPr>
          <w:i/>
          <w:color w:val="363636"/>
          <w:spacing w:val="-5"/>
          <w:sz w:val="18"/>
        </w:rPr>
        <w:t> </w:t>
      </w:r>
      <w:r>
        <w:rPr>
          <w:i/>
          <w:color w:val="363636"/>
          <w:sz w:val="18"/>
        </w:rPr>
        <w:t>Business</w:t>
      </w:r>
      <w:r>
        <w:rPr>
          <w:i/>
          <w:color w:val="363636"/>
          <w:spacing w:val="-2"/>
          <w:sz w:val="18"/>
        </w:rPr>
        <w:t> </w:t>
      </w:r>
      <w:r>
        <w:rPr>
          <w:i/>
          <w:color w:val="363636"/>
          <w:sz w:val="18"/>
        </w:rPr>
        <w:t>Studies</w:t>
      </w:r>
      <w:r>
        <w:rPr>
          <w:i/>
          <w:color w:val="363636"/>
          <w:spacing w:val="49"/>
          <w:sz w:val="18"/>
        </w:rPr>
        <w:t> </w:t>
      </w:r>
      <w:r>
        <w:rPr>
          <w:i/>
          <w:color w:val="181A1A"/>
          <w:sz w:val="18"/>
        </w:rPr>
        <w:t>IO</w:t>
      </w:r>
      <w:r>
        <w:rPr>
          <w:i/>
          <w:color w:val="181A1A"/>
          <w:spacing w:val="-11"/>
          <w:sz w:val="18"/>
        </w:rPr>
        <w:t> </w:t>
      </w:r>
      <w:r>
        <w:rPr>
          <w:i/>
          <w:color w:val="363636"/>
          <w:sz w:val="18"/>
        </w:rPr>
        <w:t>(2023)</w:t>
      </w:r>
      <w:r>
        <w:rPr>
          <w:i/>
          <w:color w:val="363636"/>
          <w:spacing w:val="-9"/>
          <w:sz w:val="18"/>
        </w:rPr>
        <w:t> </w:t>
      </w:r>
      <w:r>
        <w:rPr>
          <w:i/>
          <w:color w:val="363636"/>
          <w:sz w:val="18"/>
        </w:rPr>
        <w:t>5</w:t>
      </w:r>
      <w:r>
        <w:rPr>
          <w:color w:val="464646"/>
          <w:sz w:val="18"/>
        </w:rPr>
        <w:t>7</w:t>
      </w:r>
      <w:r>
        <w:rPr>
          <w:color w:val="181A1A"/>
          <w:sz w:val="18"/>
        </w:rPr>
        <w:t>-</w:t>
      </w:r>
      <w:r>
        <w:rPr>
          <w:i/>
          <w:color w:val="464646"/>
          <w:spacing w:val="-7"/>
          <w:sz w:val="18"/>
        </w:rPr>
        <w:t>77</w:t>
      </w:r>
    </w:p>
    <w:p>
      <w:pPr>
        <w:pStyle w:val="BodyText"/>
        <w:spacing w:before="153"/>
        <w:rPr>
          <w:i/>
          <w:sz w:val="18"/>
        </w:rPr>
      </w:pPr>
    </w:p>
    <w:p>
      <w:pPr>
        <w:spacing w:before="1"/>
        <w:ind w:left="325" w:right="0" w:firstLine="0"/>
        <w:jc w:val="left"/>
        <w:rPr>
          <w:b/>
          <w:sz w:val="20"/>
        </w:rPr>
      </w:pPr>
      <w:r>
        <w:rPr>
          <w:b/>
          <w:color w:val="181A1A"/>
          <w:spacing w:val="-2"/>
          <w:w w:val="105"/>
          <w:sz w:val="20"/>
        </w:rPr>
        <w:t>References</w:t>
      </w:r>
    </w:p>
    <w:p>
      <w:pPr>
        <w:spacing w:line="244" w:lineRule="auto" w:before="149"/>
        <w:ind w:left="669" w:right="310" w:hanging="342"/>
        <w:jc w:val="both"/>
        <w:rPr>
          <w:sz w:val="17"/>
        </w:rPr>
      </w:pPr>
      <w:r>
        <w:rPr>
          <w:color w:val="181A1A"/>
          <w:sz w:val="17"/>
        </w:rPr>
        <w:t>Alam, M</w:t>
      </w:r>
      <w:r>
        <w:rPr>
          <w:color w:val="363636"/>
          <w:sz w:val="17"/>
        </w:rPr>
        <w:t>. </w:t>
      </w:r>
      <w:r>
        <w:rPr>
          <w:color w:val="181A1A"/>
          <w:sz w:val="17"/>
        </w:rPr>
        <w:t>M</w:t>
      </w:r>
      <w:r>
        <w:rPr>
          <w:color w:val="363636"/>
          <w:sz w:val="17"/>
        </w:rPr>
        <w:t>.</w:t>
      </w:r>
      <w:r>
        <w:rPr>
          <w:color w:val="181A1A"/>
          <w:sz w:val="17"/>
        </w:rPr>
        <w:t>, Tareque, M</w:t>
      </w:r>
      <w:r>
        <w:rPr>
          <w:color w:val="363636"/>
          <w:sz w:val="17"/>
        </w:rPr>
        <w:t>.</w:t>
      </w:r>
      <w:r>
        <w:rPr>
          <w:color w:val="363636"/>
          <w:spacing w:val="-4"/>
          <w:sz w:val="17"/>
        </w:rPr>
        <w:t> </w:t>
      </w:r>
      <w:r>
        <w:rPr>
          <w:color w:val="181A1A"/>
          <w:sz w:val="17"/>
        </w:rPr>
        <w:t>I., Rahman, M. M</w:t>
      </w:r>
      <w:r>
        <w:rPr>
          <w:color w:val="363636"/>
          <w:sz w:val="17"/>
        </w:rPr>
        <w:t>.</w:t>
      </w:r>
      <w:r>
        <w:rPr>
          <w:color w:val="181A1A"/>
          <w:sz w:val="17"/>
        </w:rPr>
        <w:t>, &amp; Shamsuddin, A. (2018)</w:t>
      </w:r>
      <w:r>
        <w:rPr>
          <w:color w:val="363636"/>
          <w:sz w:val="17"/>
        </w:rPr>
        <w:t>. </w:t>
      </w:r>
      <w:r>
        <w:rPr>
          <w:color w:val="181A1A"/>
          <w:sz w:val="17"/>
        </w:rPr>
        <w:t>Impact of training and development on employee performance</w:t>
      </w:r>
      <w:r>
        <w:rPr>
          <w:color w:val="464646"/>
          <w:sz w:val="17"/>
        </w:rPr>
        <w:t>: </w:t>
      </w:r>
      <w:r>
        <w:rPr>
          <w:color w:val="363636"/>
          <w:sz w:val="17"/>
        </w:rPr>
        <w:t>E</w:t>
      </w:r>
      <w:r>
        <w:rPr>
          <w:color w:val="181A1A"/>
          <w:sz w:val="17"/>
        </w:rPr>
        <w:t>mpirical evidence from the pharmaceutical sector of Bangladesh. Journal of Public Affairs</w:t>
      </w:r>
      <w:r>
        <w:rPr>
          <w:color w:val="363636"/>
          <w:sz w:val="17"/>
        </w:rPr>
        <w:t>, </w:t>
      </w:r>
      <w:r>
        <w:rPr>
          <w:color w:val="181A1A"/>
          <w:sz w:val="17"/>
        </w:rPr>
        <w:t>18(4), e1664.</w:t>
      </w:r>
    </w:p>
    <w:p>
      <w:pPr>
        <w:spacing w:line="244" w:lineRule="auto" w:before="60"/>
        <w:ind w:left="668" w:right="305" w:hanging="341"/>
        <w:jc w:val="both"/>
        <w:rPr>
          <w:sz w:val="17"/>
        </w:rPr>
      </w:pPr>
      <w:r>
        <w:rPr>
          <w:color w:val="181A1A"/>
          <w:sz w:val="17"/>
        </w:rPr>
        <w:t>Alam, M</w:t>
      </w:r>
      <w:r>
        <w:rPr>
          <w:color w:val="5B5D5D"/>
          <w:sz w:val="17"/>
        </w:rPr>
        <w:t>.</w:t>
      </w:r>
      <w:r>
        <w:rPr>
          <w:color w:val="181A1A"/>
          <w:sz w:val="17"/>
        </w:rPr>
        <w:t>,</w:t>
      </w:r>
      <w:r>
        <w:rPr>
          <w:color w:val="181A1A"/>
          <w:spacing w:val="-1"/>
          <w:sz w:val="17"/>
        </w:rPr>
        <w:t> </w:t>
      </w:r>
      <w:r>
        <w:rPr>
          <w:color w:val="181A1A"/>
          <w:sz w:val="17"/>
        </w:rPr>
        <w:t>&amp; Ahmed, I. (2018). Impact of training and development on employee perform</w:t>
      </w:r>
      <w:r>
        <w:rPr>
          <w:color w:val="363636"/>
          <w:sz w:val="17"/>
        </w:rPr>
        <w:t>a</w:t>
      </w:r>
      <w:r>
        <w:rPr>
          <w:color w:val="181A1A"/>
          <w:sz w:val="17"/>
        </w:rPr>
        <w:t>nce:</w:t>
      </w:r>
      <w:r>
        <w:rPr>
          <w:color w:val="181A1A"/>
          <w:spacing w:val="-3"/>
          <w:sz w:val="17"/>
        </w:rPr>
        <w:t> </w:t>
      </w:r>
      <w:r>
        <w:rPr>
          <w:color w:val="181A1A"/>
          <w:sz w:val="17"/>
        </w:rPr>
        <w:t>Evidence from the ready-made</w:t>
      </w:r>
      <w:r>
        <w:rPr>
          <w:color w:val="181A1A"/>
          <w:spacing w:val="20"/>
          <w:sz w:val="17"/>
        </w:rPr>
        <w:t> </w:t>
      </w:r>
      <w:r>
        <w:rPr>
          <w:color w:val="181A1A"/>
          <w:sz w:val="17"/>
        </w:rPr>
        <w:t>garments</w:t>
      </w:r>
      <w:r>
        <w:rPr>
          <w:color w:val="181A1A"/>
          <w:spacing w:val="31"/>
          <w:sz w:val="17"/>
        </w:rPr>
        <w:t> </w:t>
      </w:r>
      <w:r>
        <w:rPr>
          <w:color w:val="181A1A"/>
          <w:sz w:val="17"/>
        </w:rPr>
        <w:t>industry</w:t>
      </w:r>
      <w:r>
        <w:rPr>
          <w:color w:val="181A1A"/>
          <w:spacing w:val="21"/>
          <w:sz w:val="17"/>
        </w:rPr>
        <w:t> </w:t>
      </w:r>
      <w:r>
        <w:rPr>
          <w:color w:val="181A1A"/>
          <w:sz w:val="17"/>
        </w:rPr>
        <w:t>in</w:t>
      </w:r>
      <w:r>
        <w:rPr>
          <w:color w:val="181A1A"/>
          <w:spacing w:val="14"/>
          <w:sz w:val="17"/>
        </w:rPr>
        <w:t> </w:t>
      </w:r>
      <w:r>
        <w:rPr>
          <w:color w:val="181A1A"/>
          <w:sz w:val="17"/>
        </w:rPr>
        <w:t>Bangladesh.</w:t>
      </w:r>
      <w:r>
        <w:rPr>
          <w:color w:val="181A1A"/>
          <w:spacing w:val="36"/>
          <w:sz w:val="17"/>
        </w:rPr>
        <w:t> </w:t>
      </w:r>
      <w:r>
        <w:rPr>
          <w:color w:val="181A1A"/>
          <w:sz w:val="17"/>
        </w:rPr>
        <w:t>International</w:t>
      </w:r>
      <w:r>
        <w:rPr>
          <w:color w:val="181A1A"/>
          <w:spacing w:val="26"/>
          <w:sz w:val="17"/>
        </w:rPr>
        <w:t> </w:t>
      </w:r>
      <w:r>
        <w:rPr>
          <w:color w:val="181A1A"/>
          <w:sz w:val="17"/>
        </w:rPr>
        <w:t>Journal</w:t>
      </w:r>
      <w:r>
        <w:rPr>
          <w:color w:val="181A1A"/>
          <w:spacing w:val="24"/>
          <w:sz w:val="17"/>
        </w:rPr>
        <w:t> </w:t>
      </w:r>
      <w:r>
        <w:rPr>
          <w:color w:val="181A1A"/>
          <w:sz w:val="17"/>
        </w:rPr>
        <w:t>of</w:t>
      </w:r>
      <w:r>
        <w:rPr>
          <w:color w:val="181A1A"/>
          <w:spacing w:val="14"/>
          <w:sz w:val="17"/>
        </w:rPr>
        <w:t> </w:t>
      </w:r>
      <w:r>
        <w:rPr>
          <w:color w:val="181A1A"/>
          <w:sz w:val="17"/>
        </w:rPr>
        <w:t>Business</w:t>
      </w:r>
      <w:r>
        <w:rPr>
          <w:color w:val="181A1A"/>
          <w:spacing w:val="17"/>
          <w:sz w:val="17"/>
        </w:rPr>
        <w:t> </w:t>
      </w:r>
      <w:r>
        <w:rPr>
          <w:color w:val="181A1A"/>
          <w:sz w:val="17"/>
        </w:rPr>
        <w:t>and</w:t>
      </w:r>
      <w:r>
        <w:rPr>
          <w:color w:val="181A1A"/>
          <w:spacing w:val="20"/>
          <w:sz w:val="17"/>
        </w:rPr>
        <w:t> </w:t>
      </w:r>
      <w:r>
        <w:rPr>
          <w:color w:val="181A1A"/>
          <w:sz w:val="17"/>
        </w:rPr>
        <w:t>Management</w:t>
      </w:r>
      <w:r>
        <w:rPr>
          <w:color w:val="363636"/>
          <w:sz w:val="17"/>
        </w:rPr>
        <w:t>, </w:t>
      </w:r>
      <w:r>
        <w:rPr>
          <w:color w:val="181A1A"/>
          <w:sz w:val="17"/>
        </w:rPr>
        <w:t>13(9)</w:t>
      </w:r>
      <w:r>
        <w:rPr>
          <w:color w:val="363636"/>
          <w:sz w:val="17"/>
        </w:rPr>
        <w:t>, </w:t>
      </w:r>
      <w:r>
        <w:rPr>
          <w:color w:val="181A1A"/>
          <w:sz w:val="17"/>
        </w:rPr>
        <w:t>83-</w:t>
      </w:r>
      <w:r>
        <w:rPr>
          <w:color w:val="181A1A"/>
          <w:spacing w:val="-4"/>
          <w:sz w:val="17"/>
        </w:rPr>
        <w:t>92.</w:t>
      </w:r>
    </w:p>
    <w:p>
      <w:pPr>
        <w:spacing w:line="247" w:lineRule="auto" w:before="60"/>
        <w:ind w:left="678" w:right="312" w:hanging="356"/>
        <w:jc w:val="both"/>
        <w:rPr>
          <w:sz w:val="17"/>
        </w:rPr>
      </w:pPr>
      <w:r>
        <w:rPr>
          <w:color w:val="181A1A"/>
          <w:sz w:val="17"/>
        </w:rPr>
        <w:t>Alzahmi</w:t>
      </w:r>
      <w:r>
        <w:rPr>
          <w:color w:val="464646"/>
          <w:sz w:val="17"/>
        </w:rPr>
        <w:t>, </w:t>
      </w:r>
      <w:r>
        <w:rPr>
          <w:color w:val="181A1A"/>
          <w:sz w:val="17"/>
        </w:rPr>
        <w:t>A.</w:t>
      </w:r>
      <w:r>
        <w:rPr>
          <w:color w:val="464646"/>
          <w:sz w:val="17"/>
        </w:rPr>
        <w:t>, </w:t>
      </w:r>
      <w:r>
        <w:rPr>
          <w:color w:val="181A1A"/>
          <w:sz w:val="17"/>
        </w:rPr>
        <w:t>&amp; AI-Musadieq, M</w:t>
      </w:r>
      <w:r>
        <w:rPr>
          <w:color w:val="6E6E6E"/>
          <w:sz w:val="17"/>
        </w:rPr>
        <w:t>. </w:t>
      </w:r>
      <w:r>
        <w:rPr>
          <w:color w:val="181A1A"/>
          <w:sz w:val="17"/>
        </w:rPr>
        <w:t>(2019). The effect of training and motivation on employee performance: The mediating role of organizational commitment.</w:t>
      </w:r>
      <w:r>
        <w:rPr>
          <w:color w:val="181A1A"/>
          <w:spacing w:val="40"/>
          <w:sz w:val="17"/>
        </w:rPr>
        <w:t> </w:t>
      </w:r>
      <w:r>
        <w:rPr>
          <w:color w:val="181A1A"/>
          <w:sz w:val="17"/>
        </w:rPr>
        <w:t>Academy of Strategic Management Journal, 18(2), 1-12.</w:t>
      </w:r>
    </w:p>
    <w:p>
      <w:pPr>
        <w:spacing w:line="247" w:lineRule="auto" w:before="54"/>
        <w:ind w:left="673" w:right="325" w:hanging="346"/>
        <w:jc w:val="both"/>
        <w:rPr>
          <w:sz w:val="17"/>
        </w:rPr>
      </w:pPr>
      <w:r>
        <w:rPr>
          <w:color w:val="181A1A"/>
          <w:sz w:val="17"/>
        </w:rPr>
        <w:t>Anderson</w:t>
      </w:r>
      <w:r>
        <w:rPr>
          <w:color w:val="464646"/>
          <w:sz w:val="17"/>
        </w:rPr>
        <w:t>, </w:t>
      </w:r>
      <w:r>
        <w:rPr>
          <w:color w:val="181A1A"/>
          <w:sz w:val="17"/>
        </w:rPr>
        <w:t>J. C</w:t>
      </w:r>
      <w:r>
        <w:rPr>
          <w:color w:val="363636"/>
          <w:sz w:val="17"/>
        </w:rPr>
        <w:t>., </w:t>
      </w:r>
      <w:r>
        <w:rPr>
          <w:color w:val="181A1A"/>
          <w:sz w:val="17"/>
        </w:rPr>
        <w:t>&amp; Gerbing</w:t>
      </w:r>
      <w:r>
        <w:rPr>
          <w:color w:val="363636"/>
          <w:sz w:val="17"/>
        </w:rPr>
        <w:t>, </w:t>
      </w:r>
      <w:r>
        <w:rPr>
          <w:color w:val="181A1A"/>
          <w:sz w:val="17"/>
        </w:rPr>
        <w:t>D. W. (1988). Structural</w:t>
      </w:r>
      <w:r>
        <w:rPr>
          <w:color w:val="181A1A"/>
          <w:spacing w:val="31"/>
          <w:sz w:val="17"/>
        </w:rPr>
        <w:t> </w:t>
      </w:r>
      <w:r>
        <w:rPr>
          <w:color w:val="181A1A"/>
          <w:sz w:val="17"/>
        </w:rPr>
        <w:t>equation</w:t>
      </w:r>
      <w:r>
        <w:rPr>
          <w:color w:val="181A1A"/>
          <w:spacing w:val="34"/>
          <w:sz w:val="17"/>
        </w:rPr>
        <w:t> </w:t>
      </w:r>
      <w:r>
        <w:rPr>
          <w:color w:val="181A1A"/>
          <w:sz w:val="17"/>
        </w:rPr>
        <w:t>modeling in practice</w:t>
      </w:r>
      <w:r>
        <w:rPr>
          <w:color w:val="363636"/>
          <w:sz w:val="17"/>
        </w:rPr>
        <w:t>: </w:t>
      </w:r>
      <w:r>
        <w:rPr>
          <w:color w:val="181A1A"/>
          <w:sz w:val="17"/>
        </w:rPr>
        <w:t>A review and</w:t>
      </w:r>
      <w:r>
        <w:rPr>
          <w:color w:val="181A1A"/>
          <w:spacing w:val="28"/>
          <w:sz w:val="17"/>
        </w:rPr>
        <w:t> </w:t>
      </w:r>
      <w:r>
        <w:rPr>
          <w:color w:val="181A1A"/>
          <w:sz w:val="17"/>
        </w:rPr>
        <w:t>recommended two-step approach</w:t>
      </w:r>
      <w:r>
        <w:rPr>
          <w:color w:val="464646"/>
          <w:sz w:val="17"/>
        </w:rPr>
        <w:t>. </w:t>
      </w:r>
      <w:r>
        <w:rPr>
          <w:color w:val="181A1A"/>
          <w:sz w:val="17"/>
        </w:rPr>
        <w:t>Psychological</w:t>
      </w:r>
      <w:r>
        <w:rPr>
          <w:color w:val="181A1A"/>
          <w:spacing w:val="40"/>
          <w:sz w:val="17"/>
        </w:rPr>
        <w:t> </w:t>
      </w:r>
      <w:r>
        <w:rPr>
          <w:color w:val="181A1A"/>
          <w:sz w:val="17"/>
        </w:rPr>
        <w:t>Bulletin</w:t>
      </w:r>
      <w:r>
        <w:rPr>
          <w:color w:val="464646"/>
          <w:sz w:val="17"/>
        </w:rPr>
        <w:t>, </w:t>
      </w:r>
      <w:r>
        <w:rPr>
          <w:color w:val="181A1A"/>
          <w:sz w:val="17"/>
        </w:rPr>
        <w:t>103(3)</w:t>
      </w:r>
      <w:r>
        <w:rPr>
          <w:color w:val="464646"/>
          <w:sz w:val="17"/>
        </w:rPr>
        <w:t>, </w:t>
      </w:r>
      <w:r>
        <w:rPr>
          <w:color w:val="181A1A"/>
          <w:sz w:val="17"/>
        </w:rPr>
        <w:t>411-423.</w:t>
      </w:r>
    </w:p>
    <w:p>
      <w:pPr>
        <w:spacing w:before="59"/>
        <w:ind w:left="672" w:right="328" w:hanging="352"/>
        <w:jc w:val="both"/>
        <w:rPr>
          <w:sz w:val="17"/>
        </w:rPr>
      </w:pPr>
      <w:r>
        <w:rPr>
          <w:color w:val="181A1A"/>
          <w:sz w:val="17"/>
        </w:rPr>
        <w:t>Baldwin</w:t>
      </w:r>
      <w:r>
        <w:rPr>
          <w:color w:val="363636"/>
          <w:sz w:val="17"/>
        </w:rPr>
        <w:t>, </w:t>
      </w:r>
      <w:r>
        <w:rPr>
          <w:color w:val="181A1A"/>
          <w:sz w:val="17"/>
        </w:rPr>
        <w:t>T. T.</w:t>
      </w:r>
      <w:r>
        <w:rPr>
          <w:color w:val="464646"/>
          <w:sz w:val="17"/>
        </w:rPr>
        <w:t>, </w:t>
      </w:r>
      <w:r>
        <w:rPr>
          <w:color w:val="181A1A"/>
          <w:sz w:val="17"/>
        </w:rPr>
        <w:t>&amp; Ford</w:t>
      </w:r>
      <w:r>
        <w:rPr>
          <w:color w:val="363636"/>
          <w:sz w:val="17"/>
        </w:rPr>
        <w:t>, </w:t>
      </w:r>
      <w:r>
        <w:rPr>
          <w:color w:val="181A1A"/>
          <w:sz w:val="17"/>
        </w:rPr>
        <w:t>J</w:t>
      </w:r>
      <w:r>
        <w:rPr>
          <w:color w:val="363636"/>
          <w:sz w:val="17"/>
        </w:rPr>
        <w:t>. </w:t>
      </w:r>
      <w:r>
        <w:rPr>
          <w:color w:val="181A1A"/>
          <w:sz w:val="17"/>
        </w:rPr>
        <w:t>K. (1988). Transfer of training: A review and directions for future research. Personnel Psychology, 41</w:t>
      </w:r>
      <w:r>
        <w:rPr>
          <w:rFonts w:ascii="Arial"/>
          <w:b/>
          <w:color w:val="181A1A"/>
          <w:sz w:val="16"/>
        </w:rPr>
        <w:t>(1</w:t>
      </w:r>
      <w:r>
        <w:rPr>
          <w:rFonts w:ascii="Arial"/>
          <w:color w:val="181A1A"/>
          <w:sz w:val="16"/>
        </w:rPr>
        <w:t>), </w:t>
      </w:r>
      <w:r>
        <w:rPr>
          <w:color w:val="181A1A"/>
          <w:sz w:val="17"/>
        </w:rPr>
        <w:t>63-105.</w:t>
      </w:r>
    </w:p>
    <w:p>
      <w:pPr>
        <w:spacing w:line="247" w:lineRule="auto" w:before="65"/>
        <w:ind w:left="669" w:right="300" w:hanging="348"/>
        <w:jc w:val="both"/>
        <w:rPr>
          <w:sz w:val="17"/>
        </w:rPr>
      </w:pPr>
      <w:r>
        <w:rPr>
          <w:color w:val="181A1A"/>
          <w:w w:val="105"/>
          <w:sz w:val="17"/>
        </w:rPr>
        <w:t>Bowennan,</w:t>
      </w:r>
      <w:r>
        <w:rPr>
          <w:color w:val="181A1A"/>
          <w:w w:val="105"/>
          <w:sz w:val="17"/>
        </w:rPr>
        <w:t> B</w:t>
      </w:r>
      <w:r>
        <w:rPr>
          <w:color w:val="464646"/>
          <w:w w:val="105"/>
          <w:sz w:val="17"/>
        </w:rPr>
        <w:t>.</w:t>
      </w:r>
      <w:r>
        <w:rPr>
          <w:color w:val="464646"/>
          <w:spacing w:val="-9"/>
          <w:w w:val="105"/>
          <w:sz w:val="17"/>
        </w:rPr>
        <w:t> </w:t>
      </w:r>
      <w:r>
        <w:rPr>
          <w:color w:val="181A1A"/>
          <w:w w:val="105"/>
          <w:sz w:val="17"/>
        </w:rPr>
        <w:t>L.</w:t>
      </w:r>
      <w:r>
        <w:rPr>
          <w:color w:val="464646"/>
          <w:w w:val="105"/>
          <w:sz w:val="17"/>
        </w:rPr>
        <w:t>,</w:t>
      </w:r>
      <w:r>
        <w:rPr>
          <w:color w:val="464646"/>
          <w:spacing w:val="-8"/>
          <w:w w:val="105"/>
          <w:sz w:val="17"/>
        </w:rPr>
        <w:t> </w:t>
      </w:r>
      <w:r>
        <w:rPr>
          <w:color w:val="181A1A"/>
          <w:w w:val="105"/>
          <w:sz w:val="17"/>
        </w:rPr>
        <w:t>&amp;</w:t>
      </w:r>
      <w:r>
        <w:rPr>
          <w:color w:val="181A1A"/>
          <w:spacing w:val="-3"/>
          <w:w w:val="105"/>
          <w:sz w:val="17"/>
        </w:rPr>
        <w:t> </w:t>
      </w:r>
      <w:r>
        <w:rPr>
          <w:color w:val="181A1A"/>
          <w:w w:val="105"/>
          <w:sz w:val="17"/>
        </w:rPr>
        <w:t>O'Connell</w:t>
      </w:r>
      <w:r>
        <w:rPr>
          <w:color w:val="464646"/>
          <w:w w:val="105"/>
          <w:sz w:val="17"/>
        </w:rPr>
        <w:t>,</w:t>
      </w:r>
      <w:r>
        <w:rPr>
          <w:color w:val="464646"/>
          <w:spacing w:val="-9"/>
          <w:w w:val="105"/>
          <w:sz w:val="17"/>
        </w:rPr>
        <w:t> </w:t>
      </w:r>
      <w:r>
        <w:rPr>
          <w:color w:val="181A1A"/>
          <w:w w:val="105"/>
          <w:sz w:val="17"/>
        </w:rPr>
        <w:t>R.</w:t>
      </w:r>
      <w:r>
        <w:rPr>
          <w:color w:val="181A1A"/>
          <w:spacing w:val="-5"/>
          <w:w w:val="105"/>
          <w:sz w:val="17"/>
        </w:rPr>
        <w:t> </w:t>
      </w:r>
      <w:r>
        <w:rPr>
          <w:color w:val="181A1A"/>
          <w:w w:val="105"/>
          <w:sz w:val="17"/>
        </w:rPr>
        <w:t>T.</w:t>
      </w:r>
      <w:r>
        <w:rPr>
          <w:color w:val="181A1A"/>
          <w:spacing w:val="-7"/>
          <w:w w:val="105"/>
          <w:sz w:val="17"/>
        </w:rPr>
        <w:t> </w:t>
      </w:r>
      <w:r>
        <w:rPr>
          <w:color w:val="181A1A"/>
          <w:w w:val="105"/>
          <w:sz w:val="17"/>
        </w:rPr>
        <w:t>(1990)</w:t>
      </w:r>
      <w:r>
        <w:rPr>
          <w:color w:val="464646"/>
          <w:w w:val="105"/>
          <w:sz w:val="17"/>
        </w:rPr>
        <w:t>.</w:t>
      </w:r>
      <w:r>
        <w:rPr>
          <w:color w:val="464646"/>
          <w:spacing w:val="-12"/>
          <w:w w:val="105"/>
          <w:sz w:val="17"/>
        </w:rPr>
        <w:t> </w:t>
      </w:r>
      <w:r>
        <w:rPr>
          <w:color w:val="181A1A"/>
          <w:w w:val="105"/>
          <w:sz w:val="17"/>
        </w:rPr>
        <w:t>Linear</w:t>
      </w:r>
      <w:r>
        <w:rPr>
          <w:color w:val="181A1A"/>
          <w:spacing w:val="-4"/>
          <w:w w:val="105"/>
          <w:sz w:val="17"/>
        </w:rPr>
        <w:t> </w:t>
      </w:r>
      <w:r>
        <w:rPr>
          <w:color w:val="181A1A"/>
          <w:w w:val="105"/>
          <w:sz w:val="17"/>
        </w:rPr>
        <w:t>statistical</w:t>
      </w:r>
      <w:r>
        <w:rPr>
          <w:color w:val="181A1A"/>
          <w:w w:val="105"/>
          <w:sz w:val="17"/>
        </w:rPr>
        <w:t> models</w:t>
      </w:r>
      <w:r>
        <w:rPr>
          <w:color w:val="363636"/>
          <w:w w:val="105"/>
          <w:sz w:val="17"/>
        </w:rPr>
        <w:t>:</w:t>
      </w:r>
      <w:r>
        <w:rPr>
          <w:color w:val="363636"/>
          <w:spacing w:val="-11"/>
          <w:w w:val="105"/>
          <w:sz w:val="17"/>
        </w:rPr>
        <w:t> </w:t>
      </w:r>
      <w:r>
        <w:rPr>
          <w:color w:val="181A1A"/>
          <w:w w:val="105"/>
          <w:sz w:val="17"/>
        </w:rPr>
        <w:t>An applied approach (2nd</w:t>
      </w:r>
      <w:r>
        <w:rPr>
          <w:color w:val="181A1A"/>
          <w:spacing w:val="-4"/>
          <w:w w:val="105"/>
          <w:sz w:val="17"/>
        </w:rPr>
        <w:t> </w:t>
      </w:r>
      <w:r>
        <w:rPr>
          <w:color w:val="181A1A"/>
          <w:w w:val="105"/>
          <w:sz w:val="17"/>
        </w:rPr>
        <w:t>ed</w:t>
      </w:r>
      <w:r>
        <w:rPr>
          <w:color w:val="464646"/>
          <w:w w:val="105"/>
          <w:sz w:val="17"/>
        </w:rPr>
        <w:t>.</w:t>
      </w:r>
      <w:r>
        <w:rPr>
          <w:color w:val="181A1A"/>
          <w:w w:val="105"/>
          <w:sz w:val="17"/>
        </w:rPr>
        <w:t>).</w:t>
      </w:r>
      <w:r>
        <w:rPr>
          <w:color w:val="181A1A"/>
          <w:spacing w:val="-12"/>
          <w:w w:val="105"/>
          <w:sz w:val="17"/>
        </w:rPr>
        <w:t> </w:t>
      </w:r>
      <w:r>
        <w:rPr>
          <w:color w:val="181A1A"/>
          <w:w w:val="105"/>
          <w:sz w:val="17"/>
        </w:rPr>
        <w:t>Belmont</w:t>
      </w:r>
      <w:r>
        <w:rPr>
          <w:color w:val="363636"/>
          <w:w w:val="105"/>
          <w:sz w:val="17"/>
        </w:rPr>
        <w:t>, </w:t>
      </w:r>
      <w:r>
        <w:rPr>
          <w:color w:val="181A1A"/>
          <w:w w:val="105"/>
          <w:sz w:val="17"/>
        </w:rPr>
        <w:t>CA</w:t>
      </w:r>
      <w:r>
        <w:rPr>
          <w:color w:val="363636"/>
          <w:w w:val="105"/>
          <w:sz w:val="17"/>
        </w:rPr>
        <w:t>: </w:t>
      </w:r>
      <w:r>
        <w:rPr>
          <w:color w:val="181A1A"/>
          <w:w w:val="105"/>
          <w:sz w:val="17"/>
        </w:rPr>
        <w:t>Duxbury Press.</w:t>
      </w:r>
    </w:p>
    <w:p>
      <w:pPr>
        <w:spacing w:line="247" w:lineRule="auto" w:before="54"/>
        <w:ind w:left="672" w:right="316" w:hanging="347"/>
        <w:jc w:val="both"/>
        <w:rPr>
          <w:sz w:val="17"/>
        </w:rPr>
      </w:pPr>
      <w:r>
        <w:rPr>
          <w:color w:val="181A1A"/>
          <w:sz w:val="17"/>
        </w:rPr>
        <w:t>Burke</w:t>
      </w:r>
      <w:r>
        <w:rPr>
          <w:color w:val="464646"/>
          <w:sz w:val="17"/>
        </w:rPr>
        <w:t>, </w:t>
      </w:r>
      <w:r>
        <w:rPr>
          <w:color w:val="181A1A"/>
          <w:sz w:val="17"/>
        </w:rPr>
        <w:t>L. A.</w:t>
      </w:r>
      <w:r>
        <w:rPr>
          <w:color w:val="464646"/>
          <w:sz w:val="17"/>
        </w:rPr>
        <w:t>, </w:t>
      </w:r>
      <w:r>
        <w:rPr>
          <w:color w:val="181A1A"/>
          <w:sz w:val="17"/>
        </w:rPr>
        <w:t>&amp; Hutchins, H. M. (2007). Training transfer: An integrative literature review. Human Resource Development</w:t>
      </w:r>
      <w:r>
        <w:rPr>
          <w:color w:val="181A1A"/>
          <w:spacing w:val="40"/>
          <w:sz w:val="17"/>
        </w:rPr>
        <w:t> </w:t>
      </w:r>
      <w:r>
        <w:rPr>
          <w:color w:val="181A1A"/>
          <w:sz w:val="17"/>
        </w:rPr>
        <w:t>Review</w:t>
      </w:r>
      <w:r>
        <w:rPr>
          <w:color w:val="464646"/>
          <w:sz w:val="17"/>
        </w:rPr>
        <w:t>, </w:t>
      </w:r>
      <w:r>
        <w:rPr>
          <w:color w:val="181A1A"/>
          <w:sz w:val="17"/>
        </w:rPr>
        <w:t>6(3)</w:t>
      </w:r>
      <w:r>
        <w:rPr>
          <w:color w:val="464646"/>
          <w:sz w:val="17"/>
        </w:rPr>
        <w:t>, </w:t>
      </w:r>
      <w:r>
        <w:rPr>
          <w:color w:val="181A1A"/>
          <w:sz w:val="17"/>
        </w:rPr>
        <w:t>263-296.</w:t>
      </w:r>
    </w:p>
    <w:p>
      <w:pPr>
        <w:spacing w:before="59"/>
        <w:ind w:left="673" w:right="321" w:hanging="351"/>
        <w:jc w:val="both"/>
        <w:rPr>
          <w:sz w:val="17"/>
        </w:rPr>
      </w:pPr>
      <w:r>
        <w:rPr>
          <w:color w:val="181A1A"/>
          <w:sz w:val="17"/>
        </w:rPr>
        <w:t>Cardon</w:t>
      </w:r>
      <w:r>
        <w:rPr>
          <w:color w:val="363636"/>
          <w:sz w:val="17"/>
        </w:rPr>
        <w:t>, </w:t>
      </w:r>
      <w:r>
        <w:rPr>
          <w:color w:val="181A1A"/>
          <w:sz w:val="17"/>
        </w:rPr>
        <w:t>M. S</w:t>
      </w:r>
      <w:r>
        <w:rPr>
          <w:color w:val="363636"/>
          <w:sz w:val="17"/>
        </w:rPr>
        <w:t>.</w:t>
      </w:r>
      <w:r>
        <w:rPr>
          <w:color w:val="181A1A"/>
          <w:sz w:val="17"/>
        </w:rPr>
        <w:t>, &amp; Heyes</w:t>
      </w:r>
      <w:r>
        <w:rPr>
          <w:color w:val="363636"/>
          <w:sz w:val="17"/>
        </w:rPr>
        <w:t>, </w:t>
      </w:r>
      <w:r>
        <w:rPr>
          <w:color w:val="181A1A"/>
          <w:sz w:val="17"/>
        </w:rPr>
        <w:t>A</w:t>
      </w:r>
      <w:r>
        <w:rPr>
          <w:color w:val="363636"/>
          <w:sz w:val="17"/>
        </w:rPr>
        <w:t>. </w:t>
      </w:r>
      <w:r>
        <w:rPr>
          <w:color w:val="181A1A"/>
          <w:sz w:val="17"/>
        </w:rPr>
        <w:t>(2006). Performance processes within organi</w:t>
      </w:r>
      <w:r>
        <w:rPr>
          <w:color w:val="363636"/>
          <w:sz w:val="17"/>
        </w:rPr>
        <w:t>z</w:t>
      </w:r>
      <w:r>
        <w:rPr>
          <w:color w:val="181A1A"/>
          <w:sz w:val="17"/>
        </w:rPr>
        <w:t>ations:</w:t>
      </w:r>
      <w:r>
        <w:rPr>
          <w:color w:val="181A1A"/>
          <w:spacing w:val="-3"/>
          <w:sz w:val="17"/>
        </w:rPr>
        <w:t> </w:t>
      </w:r>
      <w:r>
        <w:rPr>
          <w:color w:val="181A1A"/>
          <w:sz w:val="17"/>
        </w:rPr>
        <w:t>Fostering employee engagement through the performance appraisal process. Journal of Management Development</w:t>
      </w:r>
      <w:r>
        <w:rPr>
          <w:color w:val="464646"/>
          <w:sz w:val="17"/>
        </w:rPr>
        <w:t>, </w:t>
      </w:r>
      <w:r>
        <w:rPr>
          <w:color w:val="181A1A"/>
          <w:sz w:val="17"/>
        </w:rPr>
        <w:t>25(4), 293-317.</w:t>
      </w:r>
    </w:p>
    <w:p>
      <w:pPr>
        <w:spacing w:line="247" w:lineRule="auto" w:before="65"/>
        <w:ind w:left="672" w:right="0" w:hanging="350"/>
        <w:jc w:val="left"/>
        <w:rPr>
          <w:sz w:val="17"/>
        </w:rPr>
      </w:pPr>
      <w:r>
        <w:rPr>
          <w:color w:val="181A1A"/>
          <w:sz w:val="17"/>
        </w:rPr>
        <w:t>Cohen,</w:t>
      </w:r>
      <w:r>
        <w:rPr>
          <w:color w:val="181A1A"/>
          <w:spacing w:val="40"/>
          <w:sz w:val="17"/>
        </w:rPr>
        <w:t> </w:t>
      </w:r>
      <w:r>
        <w:rPr>
          <w:color w:val="181A1A"/>
          <w:sz w:val="17"/>
        </w:rPr>
        <w:t>J</w:t>
      </w:r>
      <w:r>
        <w:rPr>
          <w:color w:val="363636"/>
          <w:sz w:val="17"/>
        </w:rPr>
        <w:t>.</w:t>
      </w:r>
      <w:r>
        <w:rPr>
          <w:color w:val="363636"/>
          <w:spacing w:val="40"/>
          <w:sz w:val="17"/>
        </w:rPr>
        <w:t> </w:t>
      </w:r>
      <w:r>
        <w:rPr>
          <w:color w:val="181A1A"/>
          <w:sz w:val="17"/>
        </w:rPr>
        <w:t>(1988).</w:t>
      </w:r>
      <w:r>
        <w:rPr>
          <w:color w:val="181A1A"/>
          <w:spacing w:val="40"/>
          <w:sz w:val="17"/>
        </w:rPr>
        <w:t> </w:t>
      </w:r>
      <w:r>
        <w:rPr>
          <w:color w:val="181A1A"/>
          <w:sz w:val="17"/>
        </w:rPr>
        <w:t>St</w:t>
      </w:r>
      <w:r>
        <w:rPr>
          <w:color w:val="363636"/>
          <w:sz w:val="17"/>
        </w:rPr>
        <w:t>a</w:t>
      </w:r>
      <w:r>
        <w:rPr>
          <w:color w:val="181A1A"/>
          <w:sz w:val="17"/>
        </w:rPr>
        <w:t>tistical</w:t>
      </w:r>
      <w:r>
        <w:rPr>
          <w:color w:val="181A1A"/>
          <w:spacing w:val="40"/>
          <w:sz w:val="17"/>
        </w:rPr>
        <w:t> </w:t>
      </w:r>
      <w:r>
        <w:rPr>
          <w:color w:val="181A1A"/>
          <w:sz w:val="17"/>
        </w:rPr>
        <w:t>power</w:t>
      </w:r>
      <w:r>
        <w:rPr>
          <w:color w:val="181A1A"/>
          <w:spacing w:val="40"/>
          <w:sz w:val="17"/>
        </w:rPr>
        <w:t> </w:t>
      </w:r>
      <w:r>
        <w:rPr>
          <w:color w:val="181A1A"/>
          <w:sz w:val="17"/>
        </w:rPr>
        <w:t>analysis</w:t>
      </w:r>
      <w:r>
        <w:rPr>
          <w:color w:val="181A1A"/>
          <w:spacing w:val="40"/>
          <w:sz w:val="17"/>
        </w:rPr>
        <w:t> </w:t>
      </w:r>
      <w:r>
        <w:rPr>
          <w:color w:val="181A1A"/>
          <w:sz w:val="17"/>
        </w:rPr>
        <w:t>for</w:t>
      </w:r>
      <w:r>
        <w:rPr>
          <w:color w:val="181A1A"/>
          <w:spacing w:val="40"/>
          <w:sz w:val="17"/>
        </w:rPr>
        <w:t> </w:t>
      </w:r>
      <w:r>
        <w:rPr>
          <w:color w:val="181A1A"/>
          <w:sz w:val="17"/>
        </w:rPr>
        <w:t>the</w:t>
      </w:r>
      <w:r>
        <w:rPr>
          <w:color w:val="181A1A"/>
          <w:spacing w:val="40"/>
          <w:sz w:val="17"/>
        </w:rPr>
        <w:t> </w:t>
      </w:r>
      <w:r>
        <w:rPr>
          <w:color w:val="181A1A"/>
          <w:sz w:val="17"/>
        </w:rPr>
        <w:t>behavioral</w:t>
      </w:r>
      <w:r>
        <w:rPr>
          <w:color w:val="181A1A"/>
          <w:spacing w:val="66"/>
          <w:sz w:val="17"/>
        </w:rPr>
        <w:t> </w:t>
      </w:r>
      <w:r>
        <w:rPr>
          <w:color w:val="181A1A"/>
          <w:sz w:val="17"/>
        </w:rPr>
        <w:t>sciences</w:t>
      </w:r>
      <w:r>
        <w:rPr>
          <w:color w:val="181A1A"/>
          <w:spacing w:val="62"/>
          <w:sz w:val="17"/>
        </w:rPr>
        <w:t> </w:t>
      </w:r>
      <w:r>
        <w:rPr>
          <w:color w:val="181A1A"/>
          <w:sz w:val="17"/>
        </w:rPr>
        <w:t>(2nd</w:t>
      </w:r>
      <w:r>
        <w:rPr>
          <w:color w:val="181A1A"/>
          <w:spacing w:val="40"/>
          <w:sz w:val="17"/>
        </w:rPr>
        <w:t> </w:t>
      </w:r>
      <w:r>
        <w:rPr>
          <w:color w:val="181A1A"/>
          <w:sz w:val="17"/>
        </w:rPr>
        <w:t>ed</w:t>
      </w:r>
      <w:r>
        <w:rPr>
          <w:color w:val="363636"/>
          <w:sz w:val="17"/>
        </w:rPr>
        <w:t>.</w:t>
      </w:r>
      <w:r>
        <w:rPr>
          <w:color w:val="181A1A"/>
          <w:sz w:val="17"/>
        </w:rPr>
        <w:t>)</w:t>
      </w:r>
      <w:r>
        <w:rPr>
          <w:color w:val="363636"/>
          <w:sz w:val="17"/>
        </w:rPr>
        <w:t>.</w:t>
      </w:r>
      <w:r>
        <w:rPr>
          <w:color w:val="363636"/>
          <w:spacing w:val="40"/>
          <w:sz w:val="17"/>
        </w:rPr>
        <w:t> </w:t>
      </w:r>
      <w:r>
        <w:rPr>
          <w:color w:val="181A1A"/>
          <w:sz w:val="17"/>
        </w:rPr>
        <w:t>Hill</w:t>
      </w:r>
      <w:r>
        <w:rPr>
          <w:color w:val="363636"/>
          <w:sz w:val="17"/>
        </w:rPr>
        <w:t>s</w:t>
      </w:r>
      <w:r>
        <w:rPr>
          <w:color w:val="181A1A"/>
          <w:sz w:val="17"/>
        </w:rPr>
        <w:t>dale</w:t>
      </w:r>
      <w:r>
        <w:rPr>
          <w:color w:val="363636"/>
          <w:sz w:val="17"/>
        </w:rPr>
        <w:t>,</w:t>
      </w:r>
      <w:r>
        <w:rPr>
          <w:color w:val="363636"/>
          <w:spacing w:val="40"/>
          <w:sz w:val="17"/>
        </w:rPr>
        <w:t> </w:t>
      </w:r>
      <w:r>
        <w:rPr>
          <w:color w:val="181A1A"/>
          <w:sz w:val="17"/>
        </w:rPr>
        <w:t>NJ:</w:t>
      </w:r>
      <w:r>
        <w:rPr>
          <w:color w:val="181A1A"/>
          <w:spacing w:val="40"/>
          <w:sz w:val="17"/>
        </w:rPr>
        <w:t> </w:t>
      </w:r>
      <w:r>
        <w:rPr>
          <w:color w:val="181A1A"/>
          <w:sz w:val="17"/>
        </w:rPr>
        <w:t>Lawrence Earlbaum Associates.</w:t>
      </w:r>
    </w:p>
    <w:p>
      <w:pPr>
        <w:spacing w:line="247" w:lineRule="auto" w:before="54"/>
        <w:ind w:left="669" w:right="0" w:hanging="347"/>
        <w:jc w:val="left"/>
        <w:rPr>
          <w:sz w:val="17"/>
        </w:rPr>
      </w:pPr>
      <w:r>
        <w:rPr>
          <w:color w:val="181A1A"/>
          <w:w w:val="105"/>
          <w:sz w:val="17"/>
        </w:rPr>
        <w:t>Colquitt,</w:t>
      </w:r>
      <w:r>
        <w:rPr>
          <w:color w:val="181A1A"/>
          <w:spacing w:val="10"/>
          <w:w w:val="105"/>
          <w:sz w:val="17"/>
        </w:rPr>
        <w:t> </w:t>
      </w:r>
      <w:r>
        <w:rPr>
          <w:color w:val="181A1A"/>
          <w:w w:val="105"/>
          <w:sz w:val="17"/>
        </w:rPr>
        <w:t>J</w:t>
      </w:r>
      <w:r>
        <w:rPr>
          <w:color w:val="363636"/>
          <w:w w:val="105"/>
          <w:sz w:val="17"/>
        </w:rPr>
        <w:t>.</w:t>
      </w:r>
      <w:r>
        <w:rPr>
          <w:color w:val="363636"/>
          <w:w w:val="105"/>
          <w:sz w:val="17"/>
        </w:rPr>
        <w:t> </w:t>
      </w:r>
      <w:r>
        <w:rPr>
          <w:color w:val="181A1A"/>
          <w:w w:val="105"/>
          <w:sz w:val="17"/>
        </w:rPr>
        <w:t>A</w:t>
      </w:r>
      <w:r>
        <w:rPr>
          <w:color w:val="363636"/>
          <w:w w:val="105"/>
          <w:sz w:val="17"/>
        </w:rPr>
        <w:t>.,</w:t>
      </w:r>
      <w:r>
        <w:rPr>
          <w:color w:val="363636"/>
          <w:w w:val="105"/>
          <w:sz w:val="17"/>
        </w:rPr>
        <w:t> </w:t>
      </w:r>
      <w:r>
        <w:rPr>
          <w:color w:val="181A1A"/>
          <w:w w:val="105"/>
          <w:sz w:val="17"/>
        </w:rPr>
        <w:t>LePine,</w:t>
      </w:r>
      <w:r>
        <w:rPr>
          <w:color w:val="181A1A"/>
          <w:spacing w:val="16"/>
          <w:w w:val="105"/>
          <w:sz w:val="17"/>
        </w:rPr>
        <w:t> </w:t>
      </w:r>
      <w:r>
        <w:rPr>
          <w:color w:val="181A1A"/>
          <w:w w:val="105"/>
          <w:sz w:val="17"/>
        </w:rPr>
        <w:t>J.</w:t>
      </w:r>
      <w:r>
        <w:rPr>
          <w:color w:val="181A1A"/>
          <w:spacing w:val="16"/>
          <w:w w:val="105"/>
          <w:sz w:val="17"/>
        </w:rPr>
        <w:t> </w:t>
      </w:r>
      <w:r>
        <w:rPr>
          <w:color w:val="181A1A"/>
          <w:w w:val="105"/>
          <w:sz w:val="17"/>
        </w:rPr>
        <w:t>A.</w:t>
      </w:r>
      <w:r>
        <w:rPr>
          <w:color w:val="464646"/>
          <w:w w:val="105"/>
          <w:sz w:val="17"/>
        </w:rPr>
        <w:t>,</w:t>
      </w:r>
      <w:r>
        <w:rPr>
          <w:color w:val="464646"/>
          <w:w w:val="105"/>
          <w:sz w:val="17"/>
        </w:rPr>
        <w:t> </w:t>
      </w:r>
      <w:r>
        <w:rPr>
          <w:color w:val="181A1A"/>
          <w:w w:val="105"/>
          <w:sz w:val="17"/>
        </w:rPr>
        <w:t>&amp;</w:t>
      </w:r>
      <w:r>
        <w:rPr>
          <w:color w:val="181A1A"/>
          <w:spacing w:val="13"/>
          <w:w w:val="105"/>
          <w:sz w:val="17"/>
        </w:rPr>
        <w:t> </w:t>
      </w:r>
      <w:r>
        <w:rPr>
          <w:color w:val="181A1A"/>
          <w:w w:val="105"/>
          <w:sz w:val="17"/>
        </w:rPr>
        <w:t>Wesson</w:t>
      </w:r>
      <w:r>
        <w:rPr>
          <w:color w:val="464646"/>
          <w:w w:val="105"/>
          <w:sz w:val="17"/>
        </w:rPr>
        <w:t>,</w:t>
      </w:r>
      <w:r>
        <w:rPr>
          <w:color w:val="464646"/>
          <w:spacing w:val="9"/>
          <w:w w:val="105"/>
          <w:sz w:val="17"/>
        </w:rPr>
        <w:t> </w:t>
      </w:r>
      <w:r>
        <w:rPr>
          <w:color w:val="181A1A"/>
          <w:w w:val="105"/>
          <w:sz w:val="17"/>
        </w:rPr>
        <w:t>M.</w:t>
      </w:r>
      <w:r>
        <w:rPr>
          <w:color w:val="181A1A"/>
          <w:w w:val="105"/>
          <w:sz w:val="17"/>
        </w:rPr>
        <w:t> J.</w:t>
      </w:r>
      <w:r>
        <w:rPr>
          <w:color w:val="181A1A"/>
          <w:spacing w:val="11"/>
          <w:w w:val="105"/>
          <w:sz w:val="17"/>
        </w:rPr>
        <w:t> </w:t>
      </w:r>
      <w:r>
        <w:rPr>
          <w:color w:val="181A1A"/>
          <w:w w:val="105"/>
          <w:sz w:val="17"/>
        </w:rPr>
        <w:t>(2011</w:t>
      </w:r>
      <w:r>
        <w:rPr>
          <w:color w:val="181A1A"/>
          <w:spacing w:val="-28"/>
          <w:w w:val="105"/>
          <w:sz w:val="17"/>
        </w:rPr>
        <w:t> </w:t>
      </w:r>
      <w:r>
        <w:rPr>
          <w:color w:val="181A1A"/>
          <w:w w:val="105"/>
          <w:sz w:val="17"/>
        </w:rPr>
        <w:t>).</w:t>
      </w:r>
      <w:r>
        <w:rPr>
          <w:color w:val="181A1A"/>
          <w:spacing w:val="9"/>
          <w:w w:val="105"/>
          <w:sz w:val="17"/>
        </w:rPr>
        <w:t> </w:t>
      </w:r>
      <w:r>
        <w:rPr>
          <w:color w:val="181A1A"/>
          <w:w w:val="105"/>
          <w:sz w:val="17"/>
        </w:rPr>
        <w:t>Organi</w:t>
      </w:r>
      <w:r>
        <w:rPr>
          <w:color w:val="363636"/>
          <w:w w:val="105"/>
          <w:sz w:val="17"/>
        </w:rPr>
        <w:t>z</w:t>
      </w:r>
      <w:r>
        <w:rPr>
          <w:color w:val="181A1A"/>
          <w:w w:val="105"/>
          <w:sz w:val="17"/>
        </w:rPr>
        <w:t>ational</w:t>
      </w:r>
      <w:r>
        <w:rPr>
          <w:color w:val="181A1A"/>
          <w:spacing w:val="12"/>
          <w:w w:val="105"/>
          <w:sz w:val="17"/>
        </w:rPr>
        <w:t> </w:t>
      </w:r>
      <w:r>
        <w:rPr>
          <w:color w:val="181A1A"/>
          <w:w w:val="105"/>
          <w:sz w:val="17"/>
        </w:rPr>
        <w:t>behavior:</w:t>
      </w:r>
      <w:r>
        <w:rPr>
          <w:color w:val="181A1A"/>
          <w:spacing w:val="21"/>
          <w:w w:val="105"/>
          <w:sz w:val="17"/>
        </w:rPr>
        <w:t> </w:t>
      </w:r>
      <w:r>
        <w:rPr>
          <w:color w:val="181A1A"/>
          <w:w w:val="105"/>
          <w:sz w:val="17"/>
        </w:rPr>
        <w:t>Improving</w:t>
      </w:r>
      <w:r>
        <w:rPr>
          <w:color w:val="181A1A"/>
          <w:spacing w:val="21"/>
          <w:w w:val="105"/>
          <w:sz w:val="17"/>
        </w:rPr>
        <w:t> </w:t>
      </w:r>
      <w:r>
        <w:rPr>
          <w:color w:val="181A1A"/>
          <w:w w:val="105"/>
          <w:sz w:val="17"/>
        </w:rPr>
        <w:t>performance</w:t>
      </w:r>
      <w:r>
        <w:rPr>
          <w:color w:val="181A1A"/>
          <w:spacing w:val="25"/>
          <w:w w:val="105"/>
          <w:sz w:val="17"/>
        </w:rPr>
        <w:t> </w:t>
      </w:r>
      <w:r>
        <w:rPr>
          <w:color w:val="181A1A"/>
          <w:w w:val="105"/>
          <w:sz w:val="17"/>
        </w:rPr>
        <w:t>and commitment</w:t>
      </w:r>
      <w:r>
        <w:rPr>
          <w:color w:val="181A1A"/>
          <w:spacing w:val="22"/>
          <w:w w:val="105"/>
          <w:sz w:val="17"/>
        </w:rPr>
        <w:t> </w:t>
      </w:r>
      <w:r>
        <w:rPr>
          <w:color w:val="181A1A"/>
          <w:w w:val="105"/>
          <w:sz w:val="17"/>
        </w:rPr>
        <w:t>in the</w:t>
      </w:r>
      <w:r>
        <w:rPr>
          <w:color w:val="181A1A"/>
          <w:spacing w:val="-1"/>
          <w:w w:val="105"/>
          <w:sz w:val="17"/>
        </w:rPr>
        <w:t> </w:t>
      </w:r>
      <w:r>
        <w:rPr>
          <w:color w:val="181A1A"/>
          <w:w w:val="105"/>
          <w:sz w:val="17"/>
        </w:rPr>
        <w:t>workpl</w:t>
      </w:r>
      <w:r>
        <w:rPr>
          <w:color w:val="363636"/>
          <w:w w:val="105"/>
          <w:sz w:val="17"/>
        </w:rPr>
        <w:t>a</w:t>
      </w:r>
      <w:r>
        <w:rPr>
          <w:color w:val="181A1A"/>
          <w:w w:val="105"/>
          <w:sz w:val="17"/>
        </w:rPr>
        <w:t>ce</w:t>
      </w:r>
      <w:r>
        <w:rPr>
          <w:color w:val="5B5D5D"/>
          <w:w w:val="105"/>
          <w:sz w:val="17"/>
        </w:rPr>
        <w:t>.</w:t>
      </w:r>
      <w:r>
        <w:rPr>
          <w:color w:val="5B5D5D"/>
          <w:spacing w:val="-8"/>
          <w:w w:val="105"/>
          <w:sz w:val="17"/>
        </w:rPr>
        <w:t> </w:t>
      </w:r>
      <w:r>
        <w:rPr>
          <w:color w:val="181A1A"/>
          <w:w w:val="105"/>
          <w:sz w:val="17"/>
        </w:rPr>
        <w:t>McGraw-Hill Irwin.</w:t>
      </w:r>
    </w:p>
    <w:p>
      <w:pPr>
        <w:spacing w:line="247" w:lineRule="auto" w:before="54"/>
        <w:ind w:left="669" w:right="0" w:hanging="347"/>
        <w:jc w:val="left"/>
        <w:rPr>
          <w:sz w:val="17"/>
        </w:rPr>
      </w:pPr>
      <w:r>
        <w:rPr>
          <w:color w:val="181A1A"/>
          <w:sz w:val="17"/>
        </w:rPr>
        <w:t>Creswell</w:t>
      </w:r>
      <w:r>
        <w:rPr>
          <w:color w:val="464646"/>
          <w:sz w:val="17"/>
        </w:rPr>
        <w:t>,</w:t>
      </w:r>
      <w:r>
        <w:rPr>
          <w:color w:val="464646"/>
          <w:spacing w:val="40"/>
          <w:sz w:val="17"/>
        </w:rPr>
        <w:t> </w:t>
      </w:r>
      <w:r>
        <w:rPr>
          <w:color w:val="181A1A"/>
          <w:sz w:val="17"/>
        </w:rPr>
        <w:t>J.</w:t>
      </w:r>
      <w:r>
        <w:rPr>
          <w:color w:val="181A1A"/>
          <w:spacing w:val="40"/>
          <w:sz w:val="17"/>
        </w:rPr>
        <w:t> </w:t>
      </w:r>
      <w:r>
        <w:rPr>
          <w:color w:val="181A1A"/>
          <w:sz w:val="17"/>
        </w:rPr>
        <w:t>W.,</w:t>
      </w:r>
      <w:r>
        <w:rPr>
          <w:color w:val="181A1A"/>
          <w:spacing w:val="40"/>
          <w:sz w:val="17"/>
        </w:rPr>
        <w:t> </w:t>
      </w:r>
      <w:r>
        <w:rPr>
          <w:color w:val="181A1A"/>
          <w:sz w:val="17"/>
        </w:rPr>
        <w:t>&amp;</w:t>
      </w:r>
      <w:r>
        <w:rPr>
          <w:color w:val="181A1A"/>
          <w:spacing w:val="40"/>
          <w:sz w:val="17"/>
        </w:rPr>
        <w:t> </w:t>
      </w:r>
      <w:r>
        <w:rPr>
          <w:color w:val="181A1A"/>
          <w:sz w:val="17"/>
        </w:rPr>
        <w:t>Creswell,</w:t>
      </w:r>
      <w:r>
        <w:rPr>
          <w:color w:val="181A1A"/>
          <w:spacing w:val="40"/>
          <w:sz w:val="17"/>
        </w:rPr>
        <w:t> </w:t>
      </w:r>
      <w:r>
        <w:rPr>
          <w:color w:val="181A1A"/>
          <w:sz w:val="17"/>
        </w:rPr>
        <w:t>J</w:t>
      </w:r>
      <w:r>
        <w:rPr>
          <w:color w:val="363636"/>
          <w:sz w:val="17"/>
        </w:rPr>
        <w:t>.</w:t>
      </w:r>
      <w:r>
        <w:rPr>
          <w:color w:val="363636"/>
          <w:spacing w:val="40"/>
          <w:sz w:val="17"/>
        </w:rPr>
        <w:t> </w:t>
      </w:r>
      <w:r>
        <w:rPr>
          <w:color w:val="181A1A"/>
          <w:sz w:val="17"/>
        </w:rPr>
        <w:t>D.</w:t>
      </w:r>
      <w:r>
        <w:rPr>
          <w:color w:val="181A1A"/>
          <w:spacing w:val="40"/>
          <w:sz w:val="17"/>
        </w:rPr>
        <w:t> </w:t>
      </w:r>
      <w:r>
        <w:rPr>
          <w:color w:val="181A1A"/>
          <w:sz w:val="17"/>
        </w:rPr>
        <w:t>(2018)</w:t>
      </w:r>
      <w:r>
        <w:rPr>
          <w:color w:val="363636"/>
          <w:sz w:val="17"/>
        </w:rPr>
        <w:t>.</w:t>
      </w:r>
      <w:r>
        <w:rPr>
          <w:color w:val="363636"/>
          <w:spacing w:val="40"/>
          <w:sz w:val="17"/>
        </w:rPr>
        <w:t> </w:t>
      </w:r>
      <w:r>
        <w:rPr>
          <w:color w:val="181A1A"/>
          <w:sz w:val="17"/>
        </w:rPr>
        <w:t>Research</w:t>
      </w:r>
      <w:r>
        <w:rPr>
          <w:color w:val="181A1A"/>
          <w:spacing w:val="70"/>
          <w:sz w:val="17"/>
        </w:rPr>
        <w:t> </w:t>
      </w:r>
      <w:r>
        <w:rPr>
          <w:color w:val="181A1A"/>
          <w:sz w:val="17"/>
        </w:rPr>
        <w:t>design:</w:t>
      </w:r>
      <w:r>
        <w:rPr>
          <w:color w:val="181A1A"/>
          <w:spacing w:val="40"/>
          <w:sz w:val="17"/>
        </w:rPr>
        <w:t> </w:t>
      </w:r>
      <w:r>
        <w:rPr>
          <w:color w:val="181A1A"/>
          <w:sz w:val="17"/>
        </w:rPr>
        <w:t>Qualitative</w:t>
      </w:r>
      <w:r>
        <w:rPr>
          <w:color w:val="464646"/>
          <w:sz w:val="17"/>
        </w:rPr>
        <w:t>,</w:t>
      </w:r>
      <w:r>
        <w:rPr>
          <w:color w:val="464646"/>
          <w:spacing w:val="40"/>
          <w:sz w:val="17"/>
        </w:rPr>
        <w:t> </w:t>
      </w:r>
      <w:r>
        <w:rPr>
          <w:color w:val="181A1A"/>
          <w:sz w:val="17"/>
        </w:rPr>
        <w:t>quantitative</w:t>
      </w:r>
      <w:r>
        <w:rPr>
          <w:color w:val="363636"/>
          <w:sz w:val="17"/>
        </w:rPr>
        <w:t>,</w:t>
      </w:r>
      <w:r>
        <w:rPr>
          <w:color w:val="363636"/>
          <w:spacing w:val="40"/>
          <w:sz w:val="17"/>
        </w:rPr>
        <w:t> </w:t>
      </w:r>
      <w:r>
        <w:rPr>
          <w:color w:val="181A1A"/>
          <w:sz w:val="17"/>
        </w:rPr>
        <w:t>and</w:t>
      </w:r>
      <w:r>
        <w:rPr>
          <w:color w:val="181A1A"/>
          <w:spacing w:val="70"/>
          <w:sz w:val="17"/>
        </w:rPr>
        <w:t> </w:t>
      </w:r>
      <w:r>
        <w:rPr>
          <w:color w:val="181A1A"/>
          <w:sz w:val="17"/>
        </w:rPr>
        <w:t>mixed</w:t>
      </w:r>
      <w:r>
        <w:rPr>
          <w:color w:val="181A1A"/>
          <w:spacing w:val="67"/>
          <w:sz w:val="17"/>
        </w:rPr>
        <w:t> </w:t>
      </w:r>
      <w:r>
        <w:rPr>
          <w:color w:val="181A1A"/>
          <w:sz w:val="17"/>
        </w:rPr>
        <w:t>methods approaches (5th ed.). Sage Publications.</w:t>
      </w:r>
    </w:p>
    <w:p>
      <w:pPr>
        <w:spacing w:line="247" w:lineRule="auto" w:before="59"/>
        <w:ind w:left="669" w:right="0" w:hanging="349"/>
        <w:jc w:val="left"/>
        <w:rPr>
          <w:sz w:val="17"/>
        </w:rPr>
      </w:pPr>
      <w:r>
        <w:rPr>
          <w:color w:val="181A1A"/>
          <w:sz w:val="17"/>
        </w:rPr>
        <w:t>Deci</w:t>
      </w:r>
      <w:r>
        <w:rPr>
          <w:color w:val="464646"/>
          <w:sz w:val="17"/>
        </w:rPr>
        <w:t>,</w:t>
      </w:r>
      <w:r>
        <w:rPr>
          <w:color w:val="464646"/>
          <w:spacing w:val="33"/>
          <w:sz w:val="17"/>
        </w:rPr>
        <w:t> </w:t>
      </w:r>
      <w:r>
        <w:rPr>
          <w:color w:val="181A1A"/>
          <w:sz w:val="17"/>
        </w:rPr>
        <w:t>E</w:t>
      </w:r>
      <w:r>
        <w:rPr>
          <w:color w:val="464646"/>
          <w:sz w:val="17"/>
        </w:rPr>
        <w:t>.</w:t>
      </w:r>
      <w:r>
        <w:rPr>
          <w:color w:val="464646"/>
          <w:spacing w:val="27"/>
          <w:sz w:val="17"/>
        </w:rPr>
        <w:t> </w:t>
      </w:r>
      <w:r>
        <w:rPr>
          <w:color w:val="181A1A"/>
          <w:sz w:val="17"/>
        </w:rPr>
        <w:t>L.,</w:t>
      </w:r>
      <w:r>
        <w:rPr>
          <w:color w:val="181A1A"/>
          <w:spacing w:val="37"/>
          <w:sz w:val="17"/>
        </w:rPr>
        <w:t> </w:t>
      </w:r>
      <w:r>
        <w:rPr>
          <w:color w:val="181A1A"/>
          <w:sz w:val="17"/>
        </w:rPr>
        <w:t>&amp;</w:t>
      </w:r>
      <w:r>
        <w:rPr>
          <w:color w:val="181A1A"/>
          <w:spacing w:val="38"/>
          <w:sz w:val="17"/>
        </w:rPr>
        <w:t> </w:t>
      </w:r>
      <w:r>
        <w:rPr>
          <w:color w:val="181A1A"/>
          <w:sz w:val="17"/>
        </w:rPr>
        <w:t>Ryan,</w:t>
      </w:r>
      <w:r>
        <w:rPr>
          <w:color w:val="181A1A"/>
          <w:spacing w:val="40"/>
          <w:sz w:val="17"/>
        </w:rPr>
        <w:t> </w:t>
      </w:r>
      <w:r>
        <w:rPr>
          <w:color w:val="181A1A"/>
          <w:sz w:val="17"/>
        </w:rPr>
        <w:t>R</w:t>
      </w:r>
      <w:r>
        <w:rPr>
          <w:color w:val="363636"/>
          <w:sz w:val="17"/>
        </w:rPr>
        <w:t>.</w:t>
      </w:r>
      <w:r>
        <w:rPr>
          <w:color w:val="363636"/>
          <w:spacing w:val="34"/>
          <w:sz w:val="17"/>
        </w:rPr>
        <w:t> </w:t>
      </w:r>
      <w:r>
        <w:rPr>
          <w:color w:val="181A1A"/>
          <w:sz w:val="17"/>
        </w:rPr>
        <w:t>M</w:t>
      </w:r>
      <w:r>
        <w:rPr>
          <w:color w:val="464646"/>
          <w:sz w:val="17"/>
        </w:rPr>
        <w:t>.</w:t>
      </w:r>
      <w:r>
        <w:rPr>
          <w:color w:val="464646"/>
          <w:spacing w:val="28"/>
          <w:sz w:val="17"/>
        </w:rPr>
        <w:t> </w:t>
      </w:r>
      <w:r>
        <w:rPr>
          <w:color w:val="181A1A"/>
          <w:sz w:val="17"/>
        </w:rPr>
        <w:t>(1985).</w:t>
      </w:r>
      <w:r>
        <w:rPr>
          <w:color w:val="181A1A"/>
          <w:spacing w:val="40"/>
          <w:sz w:val="17"/>
        </w:rPr>
        <w:t> </w:t>
      </w:r>
      <w:r>
        <w:rPr>
          <w:color w:val="181A1A"/>
          <w:sz w:val="17"/>
        </w:rPr>
        <w:t>Intrinsic</w:t>
      </w:r>
      <w:r>
        <w:rPr>
          <w:color w:val="181A1A"/>
          <w:spacing w:val="40"/>
          <w:sz w:val="17"/>
        </w:rPr>
        <w:t> </w:t>
      </w:r>
      <w:r>
        <w:rPr>
          <w:color w:val="181A1A"/>
          <w:sz w:val="17"/>
        </w:rPr>
        <w:t>motivation</w:t>
      </w:r>
      <w:r>
        <w:rPr>
          <w:color w:val="181A1A"/>
          <w:spacing w:val="40"/>
          <w:sz w:val="17"/>
        </w:rPr>
        <w:t> </w:t>
      </w:r>
      <w:r>
        <w:rPr>
          <w:color w:val="181A1A"/>
          <w:sz w:val="17"/>
        </w:rPr>
        <w:t>and</w:t>
      </w:r>
      <w:r>
        <w:rPr>
          <w:color w:val="181A1A"/>
          <w:spacing w:val="40"/>
          <w:sz w:val="17"/>
        </w:rPr>
        <w:t> </w:t>
      </w:r>
      <w:r>
        <w:rPr>
          <w:color w:val="181A1A"/>
          <w:sz w:val="17"/>
        </w:rPr>
        <w:t>self-determination</w:t>
      </w:r>
      <w:r>
        <w:rPr>
          <w:color w:val="181A1A"/>
          <w:spacing w:val="40"/>
          <w:sz w:val="17"/>
        </w:rPr>
        <w:t> </w:t>
      </w:r>
      <w:r>
        <w:rPr>
          <w:color w:val="181A1A"/>
          <w:sz w:val="17"/>
        </w:rPr>
        <w:t>in</w:t>
      </w:r>
      <w:r>
        <w:rPr>
          <w:color w:val="181A1A"/>
          <w:spacing w:val="40"/>
          <w:sz w:val="17"/>
        </w:rPr>
        <w:t> </w:t>
      </w:r>
      <w:r>
        <w:rPr>
          <w:color w:val="181A1A"/>
          <w:sz w:val="17"/>
        </w:rPr>
        <w:t>human</w:t>
      </w:r>
      <w:r>
        <w:rPr>
          <w:color w:val="181A1A"/>
          <w:spacing w:val="40"/>
          <w:sz w:val="17"/>
        </w:rPr>
        <w:t> </w:t>
      </w:r>
      <w:r>
        <w:rPr>
          <w:color w:val="181A1A"/>
          <w:sz w:val="17"/>
        </w:rPr>
        <w:t>behavior</w:t>
      </w:r>
      <w:r>
        <w:rPr>
          <w:color w:val="363636"/>
          <w:sz w:val="17"/>
        </w:rPr>
        <w:t>.</w:t>
      </w:r>
      <w:r>
        <w:rPr>
          <w:color w:val="363636"/>
          <w:spacing w:val="31"/>
          <w:sz w:val="17"/>
        </w:rPr>
        <w:t> </w:t>
      </w:r>
      <w:r>
        <w:rPr>
          <w:color w:val="181A1A"/>
          <w:sz w:val="17"/>
        </w:rPr>
        <w:t>Springer Science &amp; Business Media.</w:t>
      </w:r>
    </w:p>
    <w:p>
      <w:pPr>
        <w:spacing w:line="247" w:lineRule="auto" w:before="54"/>
        <w:ind w:left="671" w:right="0" w:hanging="350"/>
        <w:jc w:val="left"/>
        <w:rPr>
          <w:sz w:val="17"/>
        </w:rPr>
      </w:pPr>
      <w:r>
        <w:rPr>
          <w:color w:val="181A1A"/>
          <w:sz w:val="17"/>
        </w:rPr>
        <w:t>Faul</w:t>
      </w:r>
      <w:r>
        <w:rPr>
          <w:color w:val="363636"/>
          <w:sz w:val="17"/>
        </w:rPr>
        <w:t>,</w:t>
      </w:r>
      <w:r>
        <w:rPr>
          <w:color w:val="363636"/>
          <w:spacing w:val="30"/>
          <w:sz w:val="17"/>
        </w:rPr>
        <w:t> </w:t>
      </w:r>
      <w:r>
        <w:rPr>
          <w:color w:val="181A1A"/>
          <w:sz w:val="17"/>
        </w:rPr>
        <w:t>F.</w:t>
      </w:r>
      <w:r>
        <w:rPr>
          <w:color w:val="464646"/>
          <w:sz w:val="17"/>
        </w:rPr>
        <w:t>,</w:t>
      </w:r>
      <w:r>
        <w:rPr>
          <w:color w:val="464646"/>
          <w:spacing w:val="29"/>
          <w:sz w:val="17"/>
        </w:rPr>
        <w:t> </w:t>
      </w:r>
      <w:r>
        <w:rPr>
          <w:color w:val="363636"/>
          <w:sz w:val="17"/>
        </w:rPr>
        <w:t>E</w:t>
      </w:r>
      <w:r>
        <w:rPr>
          <w:color w:val="181A1A"/>
          <w:sz w:val="17"/>
        </w:rPr>
        <w:t>rdfelder</w:t>
      </w:r>
      <w:r>
        <w:rPr>
          <w:color w:val="464646"/>
          <w:sz w:val="17"/>
        </w:rPr>
        <w:t>,</w:t>
      </w:r>
      <w:r>
        <w:rPr>
          <w:color w:val="464646"/>
          <w:spacing w:val="29"/>
          <w:sz w:val="17"/>
        </w:rPr>
        <w:t> </w:t>
      </w:r>
      <w:r>
        <w:rPr>
          <w:color w:val="181A1A"/>
          <w:sz w:val="17"/>
        </w:rPr>
        <w:t>E</w:t>
      </w:r>
      <w:r>
        <w:rPr>
          <w:color w:val="363636"/>
          <w:sz w:val="17"/>
        </w:rPr>
        <w:t>.,</w:t>
      </w:r>
      <w:r>
        <w:rPr>
          <w:color w:val="363636"/>
          <w:spacing w:val="35"/>
          <w:sz w:val="17"/>
        </w:rPr>
        <w:t> </w:t>
      </w:r>
      <w:r>
        <w:rPr>
          <w:color w:val="181A1A"/>
          <w:sz w:val="17"/>
        </w:rPr>
        <w:t>Lang</w:t>
      </w:r>
      <w:r>
        <w:rPr>
          <w:color w:val="464646"/>
          <w:sz w:val="17"/>
        </w:rPr>
        <w:t>,</w:t>
      </w:r>
      <w:r>
        <w:rPr>
          <w:color w:val="464646"/>
          <w:spacing w:val="31"/>
          <w:sz w:val="17"/>
        </w:rPr>
        <w:t> </w:t>
      </w:r>
      <w:r>
        <w:rPr>
          <w:color w:val="181A1A"/>
          <w:sz w:val="17"/>
        </w:rPr>
        <w:t>A.</w:t>
      </w:r>
      <w:r>
        <w:rPr>
          <w:color w:val="181A1A"/>
          <w:spacing w:val="40"/>
          <w:sz w:val="17"/>
        </w:rPr>
        <w:t> </w:t>
      </w:r>
      <w:r>
        <w:rPr>
          <w:color w:val="181A1A"/>
          <w:sz w:val="17"/>
        </w:rPr>
        <w:t>G.</w:t>
      </w:r>
      <w:r>
        <w:rPr>
          <w:color w:val="464646"/>
          <w:sz w:val="17"/>
        </w:rPr>
        <w:t>,</w:t>
      </w:r>
      <w:r>
        <w:rPr>
          <w:color w:val="464646"/>
          <w:spacing w:val="31"/>
          <w:sz w:val="17"/>
        </w:rPr>
        <w:t> </w:t>
      </w:r>
      <w:r>
        <w:rPr>
          <w:color w:val="181A1A"/>
          <w:sz w:val="17"/>
        </w:rPr>
        <w:t>&amp;</w:t>
      </w:r>
      <w:r>
        <w:rPr>
          <w:color w:val="181A1A"/>
          <w:spacing w:val="36"/>
          <w:sz w:val="17"/>
        </w:rPr>
        <w:t> </w:t>
      </w:r>
      <w:r>
        <w:rPr>
          <w:color w:val="181A1A"/>
          <w:sz w:val="17"/>
        </w:rPr>
        <w:t>Buchner</w:t>
      </w:r>
      <w:r>
        <w:rPr>
          <w:color w:val="464646"/>
          <w:sz w:val="17"/>
        </w:rPr>
        <w:t>,</w:t>
      </w:r>
      <w:r>
        <w:rPr>
          <w:color w:val="464646"/>
          <w:spacing w:val="31"/>
          <w:sz w:val="17"/>
        </w:rPr>
        <w:t> </w:t>
      </w:r>
      <w:r>
        <w:rPr>
          <w:color w:val="181A1A"/>
          <w:sz w:val="17"/>
        </w:rPr>
        <w:t>A.</w:t>
      </w:r>
      <w:r>
        <w:rPr>
          <w:color w:val="181A1A"/>
          <w:spacing w:val="35"/>
          <w:sz w:val="17"/>
        </w:rPr>
        <w:t> </w:t>
      </w:r>
      <w:r>
        <w:rPr>
          <w:color w:val="181A1A"/>
          <w:sz w:val="17"/>
        </w:rPr>
        <w:t>(2007).</w:t>
      </w:r>
      <w:r>
        <w:rPr>
          <w:color w:val="181A1A"/>
          <w:spacing w:val="40"/>
          <w:sz w:val="17"/>
        </w:rPr>
        <w:t> </w:t>
      </w:r>
      <w:r>
        <w:rPr>
          <w:color w:val="181A1A"/>
          <w:sz w:val="17"/>
        </w:rPr>
        <w:t>G*Power</w:t>
      </w:r>
      <w:r>
        <w:rPr>
          <w:color w:val="181A1A"/>
          <w:spacing w:val="40"/>
          <w:sz w:val="17"/>
        </w:rPr>
        <w:t> </w:t>
      </w:r>
      <w:r>
        <w:rPr>
          <w:color w:val="181A1A"/>
          <w:sz w:val="17"/>
        </w:rPr>
        <w:t>3:</w:t>
      </w:r>
      <w:r>
        <w:rPr>
          <w:color w:val="181A1A"/>
          <w:spacing w:val="36"/>
          <w:sz w:val="17"/>
        </w:rPr>
        <w:t> </w:t>
      </w:r>
      <w:r>
        <w:rPr>
          <w:color w:val="181A1A"/>
          <w:sz w:val="17"/>
        </w:rPr>
        <w:t>A</w:t>
      </w:r>
      <w:r>
        <w:rPr>
          <w:color w:val="181A1A"/>
          <w:spacing w:val="36"/>
          <w:sz w:val="17"/>
        </w:rPr>
        <w:t> </w:t>
      </w:r>
      <w:r>
        <w:rPr>
          <w:color w:val="181A1A"/>
          <w:sz w:val="17"/>
        </w:rPr>
        <w:t>flexible</w:t>
      </w:r>
      <w:r>
        <w:rPr>
          <w:color w:val="181A1A"/>
          <w:spacing w:val="40"/>
          <w:sz w:val="17"/>
        </w:rPr>
        <w:t> </w:t>
      </w:r>
      <w:r>
        <w:rPr>
          <w:color w:val="181A1A"/>
          <w:sz w:val="17"/>
        </w:rPr>
        <w:t>statistical</w:t>
      </w:r>
      <w:r>
        <w:rPr>
          <w:color w:val="181A1A"/>
          <w:spacing w:val="40"/>
          <w:sz w:val="17"/>
        </w:rPr>
        <w:t> </w:t>
      </w:r>
      <w:r>
        <w:rPr>
          <w:color w:val="181A1A"/>
          <w:sz w:val="17"/>
        </w:rPr>
        <w:t>power</w:t>
      </w:r>
      <w:r>
        <w:rPr>
          <w:color w:val="181A1A"/>
          <w:spacing w:val="40"/>
          <w:sz w:val="17"/>
        </w:rPr>
        <w:t> </w:t>
      </w:r>
      <w:r>
        <w:rPr>
          <w:color w:val="181A1A"/>
          <w:sz w:val="17"/>
        </w:rPr>
        <w:t>analysis program for the social</w:t>
      </w:r>
      <w:r>
        <w:rPr>
          <w:color w:val="5B5D5D"/>
          <w:sz w:val="17"/>
        </w:rPr>
        <w:t>, </w:t>
      </w:r>
      <w:r>
        <w:rPr>
          <w:color w:val="181A1A"/>
          <w:sz w:val="17"/>
        </w:rPr>
        <w:t>behavioral, and biomedical sciences. Behavior Research</w:t>
      </w:r>
      <w:r>
        <w:rPr>
          <w:color w:val="181A1A"/>
          <w:spacing w:val="36"/>
          <w:sz w:val="17"/>
        </w:rPr>
        <w:t> </w:t>
      </w:r>
      <w:r>
        <w:rPr>
          <w:color w:val="181A1A"/>
          <w:sz w:val="17"/>
        </w:rPr>
        <w:t>Methods</w:t>
      </w:r>
      <w:r>
        <w:rPr>
          <w:color w:val="464646"/>
          <w:sz w:val="17"/>
        </w:rPr>
        <w:t>, </w:t>
      </w:r>
      <w:r>
        <w:rPr>
          <w:color w:val="181A1A"/>
          <w:sz w:val="17"/>
        </w:rPr>
        <w:t>39(2), 175-191.</w:t>
      </w:r>
    </w:p>
    <w:p>
      <w:pPr>
        <w:spacing w:before="58"/>
        <w:ind w:left="673" w:right="0" w:hanging="353"/>
        <w:jc w:val="left"/>
        <w:rPr>
          <w:sz w:val="17"/>
        </w:rPr>
      </w:pPr>
      <w:r>
        <w:rPr>
          <w:color w:val="181A1A"/>
          <w:sz w:val="17"/>
        </w:rPr>
        <w:t>Fornell</w:t>
      </w:r>
      <w:r>
        <w:rPr>
          <w:color w:val="363636"/>
          <w:sz w:val="17"/>
        </w:rPr>
        <w:t>,</w:t>
      </w:r>
      <w:r>
        <w:rPr>
          <w:color w:val="363636"/>
          <w:spacing w:val="34"/>
          <w:sz w:val="17"/>
        </w:rPr>
        <w:t> </w:t>
      </w:r>
      <w:r>
        <w:rPr>
          <w:color w:val="181A1A"/>
          <w:sz w:val="17"/>
        </w:rPr>
        <w:t>C</w:t>
      </w:r>
      <w:r>
        <w:rPr>
          <w:color w:val="363636"/>
          <w:sz w:val="17"/>
        </w:rPr>
        <w:t>.,</w:t>
      </w:r>
      <w:r>
        <w:rPr>
          <w:color w:val="363636"/>
          <w:spacing w:val="34"/>
          <w:sz w:val="17"/>
        </w:rPr>
        <w:t> </w:t>
      </w:r>
      <w:r>
        <w:rPr>
          <w:color w:val="181A1A"/>
          <w:sz w:val="17"/>
        </w:rPr>
        <w:t>&amp;</w:t>
      </w:r>
      <w:r>
        <w:rPr>
          <w:color w:val="181A1A"/>
          <w:spacing w:val="37"/>
          <w:sz w:val="17"/>
        </w:rPr>
        <w:t> </w:t>
      </w:r>
      <w:r>
        <w:rPr>
          <w:color w:val="181A1A"/>
          <w:sz w:val="17"/>
        </w:rPr>
        <w:t>Larcker</w:t>
      </w:r>
      <w:r>
        <w:rPr>
          <w:color w:val="363636"/>
          <w:sz w:val="17"/>
        </w:rPr>
        <w:t>,</w:t>
      </w:r>
      <w:r>
        <w:rPr>
          <w:color w:val="363636"/>
          <w:spacing w:val="33"/>
          <w:sz w:val="17"/>
        </w:rPr>
        <w:t> </w:t>
      </w:r>
      <w:r>
        <w:rPr>
          <w:color w:val="181A1A"/>
          <w:sz w:val="17"/>
        </w:rPr>
        <w:t>D</w:t>
      </w:r>
      <w:r>
        <w:rPr>
          <w:color w:val="363636"/>
          <w:sz w:val="17"/>
        </w:rPr>
        <w:t>.</w:t>
      </w:r>
      <w:r>
        <w:rPr>
          <w:color w:val="363636"/>
          <w:spacing w:val="33"/>
          <w:sz w:val="17"/>
        </w:rPr>
        <w:t> </w:t>
      </w:r>
      <w:r>
        <w:rPr>
          <w:color w:val="181A1A"/>
          <w:sz w:val="17"/>
        </w:rPr>
        <w:t>F</w:t>
      </w:r>
      <w:r>
        <w:rPr>
          <w:color w:val="363636"/>
          <w:sz w:val="17"/>
        </w:rPr>
        <w:t>.</w:t>
      </w:r>
      <w:r>
        <w:rPr>
          <w:color w:val="363636"/>
          <w:spacing w:val="29"/>
          <w:sz w:val="17"/>
        </w:rPr>
        <w:t> </w:t>
      </w:r>
      <w:r>
        <w:rPr>
          <w:color w:val="181A1A"/>
          <w:sz w:val="17"/>
        </w:rPr>
        <w:t>(1981).</w:t>
      </w:r>
      <w:r>
        <w:rPr>
          <w:color w:val="181A1A"/>
          <w:spacing w:val="40"/>
          <w:sz w:val="17"/>
        </w:rPr>
        <w:t> </w:t>
      </w:r>
      <w:r>
        <w:rPr>
          <w:color w:val="181A1A"/>
          <w:sz w:val="17"/>
        </w:rPr>
        <w:t>Evaluating</w:t>
      </w:r>
      <w:r>
        <w:rPr>
          <w:color w:val="181A1A"/>
          <w:spacing w:val="40"/>
          <w:sz w:val="17"/>
        </w:rPr>
        <w:t> </w:t>
      </w:r>
      <w:r>
        <w:rPr>
          <w:color w:val="181A1A"/>
          <w:sz w:val="17"/>
        </w:rPr>
        <w:t>structural</w:t>
      </w:r>
      <w:r>
        <w:rPr>
          <w:color w:val="181A1A"/>
          <w:spacing w:val="40"/>
          <w:sz w:val="17"/>
        </w:rPr>
        <w:t> </w:t>
      </w:r>
      <w:r>
        <w:rPr>
          <w:color w:val="181A1A"/>
          <w:sz w:val="17"/>
        </w:rPr>
        <w:t>equation</w:t>
      </w:r>
      <w:r>
        <w:rPr>
          <w:color w:val="181A1A"/>
          <w:spacing w:val="40"/>
          <w:sz w:val="17"/>
        </w:rPr>
        <w:t> </w:t>
      </w:r>
      <w:r>
        <w:rPr>
          <w:color w:val="181A1A"/>
          <w:sz w:val="17"/>
        </w:rPr>
        <w:t>models</w:t>
      </w:r>
      <w:r>
        <w:rPr>
          <w:color w:val="181A1A"/>
          <w:spacing w:val="40"/>
          <w:sz w:val="17"/>
        </w:rPr>
        <w:t> </w:t>
      </w:r>
      <w:r>
        <w:rPr>
          <w:color w:val="181A1A"/>
          <w:sz w:val="17"/>
        </w:rPr>
        <w:t>with</w:t>
      </w:r>
      <w:r>
        <w:rPr>
          <w:color w:val="181A1A"/>
          <w:spacing w:val="40"/>
          <w:sz w:val="17"/>
        </w:rPr>
        <w:t> </w:t>
      </w:r>
      <w:r>
        <w:rPr>
          <w:color w:val="181A1A"/>
          <w:sz w:val="17"/>
        </w:rPr>
        <w:t>unobservable</w:t>
      </w:r>
      <w:r>
        <w:rPr>
          <w:color w:val="181A1A"/>
          <w:spacing w:val="40"/>
          <w:sz w:val="17"/>
        </w:rPr>
        <w:t> </w:t>
      </w:r>
      <w:r>
        <w:rPr>
          <w:color w:val="181A1A"/>
          <w:sz w:val="17"/>
        </w:rPr>
        <w:t>variables</w:t>
      </w:r>
      <w:r>
        <w:rPr>
          <w:color w:val="181A1A"/>
          <w:spacing w:val="40"/>
          <w:sz w:val="17"/>
        </w:rPr>
        <w:t> </w:t>
      </w:r>
      <w:r>
        <w:rPr>
          <w:color w:val="181A1A"/>
          <w:sz w:val="17"/>
        </w:rPr>
        <w:t>and measurement error. Journal of Marketing Research, 18(1</w:t>
      </w:r>
      <w:r>
        <w:rPr>
          <w:color w:val="181A1A"/>
          <w:spacing w:val="-19"/>
          <w:sz w:val="17"/>
        </w:rPr>
        <w:t> </w:t>
      </w:r>
      <w:r>
        <w:rPr>
          <w:color w:val="181A1A"/>
          <w:sz w:val="17"/>
        </w:rPr>
        <w:t>), 39-50</w:t>
      </w:r>
      <w:r>
        <w:rPr>
          <w:color w:val="363636"/>
          <w:sz w:val="17"/>
        </w:rPr>
        <w:t>.</w:t>
      </w:r>
    </w:p>
    <w:p>
      <w:pPr>
        <w:spacing w:before="66"/>
        <w:ind w:left="321" w:right="0" w:firstLine="0"/>
        <w:jc w:val="left"/>
        <w:rPr>
          <w:sz w:val="17"/>
        </w:rPr>
      </w:pPr>
      <w:r>
        <w:rPr>
          <w:color w:val="181A1A"/>
          <w:sz w:val="17"/>
        </w:rPr>
        <w:t>Hair</w:t>
      </w:r>
      <w:r>
        <w:rPr>
          <w:color w:val="464646"/>
          <w:sz w:val="17"/>
        </w:rPr>
        <w:t>,</w:t>
      </w:r>
      <w:r>
        <w:rPr>
          <w:color w:val="464646"/>
          <w:spacing w:val="2"/>
          <w:sz w:val="17"/>
        </w:rPr>
        <w:t> </w:t>
      </w:r>
      <w:r>
        <w:rPr>
          <w:color w:val="181A1A"/>
          <w:sz w:val="17"/>
        </w:rPr>
        <w:t>J</w:t>
      </w:r>
      <w:r>
        <w:rPr>
          <w:color w:val="363636"/>
          <w:sz w:val="17"/>
        </w:rPr>
        <w:t>.</w:t>
      </w:r>
      <w:r>
        <w:rPr>
          <w:color w:val="363636"/>
          <w:spacing w:val="-2"/>
          <w:sz w:val="17"/>
        </w:rPr>
        <w:t> </w:t>
      </w:r>
      <w:r>
        <w:rPr>
          <w:color w:val="181A1A"/>
          <w:sz w:val="17"/>
        </w:rPr>
        <w:t>F.,</w:t>
      </w:r>
      <w:r>
        <w:rPr>
          <w:color w:val="181A1A"/>
          <w:spacing w:val="4"/>
          <w:sz w:val="17"/>
        </w:rPr>
        <w:t> </w:t>
      </w:r>
      <w:r>
        <w:rPr>
          <w:color w:val="181A1A"/>
          <w:sz w:val="17"/>
        </w:rPr>
        <w:t>Jr</w:t>
      </w:r>
      <w:r>
        <w:rPr>
          <w:color w:val="363636"/>
          <w:sz w:val="17"/>
        </w:rPr>
        <w:t>.,</w:t>
      </w:r>
      <w:r>
        <w:rPr>
          <w:color w:val="363636"/>
          <w:spacing w:val="3"/>
          <w:sz w:val="17"/>
        </w:rPr>
        <w:t> </w:t>
      </w:r>
      <w:r>
        <w:rPr>
          <w:color w:val="181A1A"/>
          <w:sz w:val="17"/>
        </w:rPr>
        <w:t>Black</w:t>
      </w:r>
      <w:r>
        <w:rPr>
          <w:color w:val="464646"/>
          <w:sz w:val="17"/>
        </w:rPr>
        <w:t>,</w:t>
      </w:r>
      <w:r>
        <w:rPr>
          <w:color w:val="464646"/>
          <w:spacing w:val="4"/>
          <w:sz w:val="17"/>
        </w:rPr>
        <w:t> </w:t>
      </w:r>
      <w:r>
        <w:rPr>
          <w:color w:val="181A1A"/>
          <w:sz w:val="17"/>
        </w:rPr>
        <w:t>W</w:t>
      </w:r>
      <w:r>
        <w:rPr>
          <w:color w:val="464646"/>
          <w:sz w:val="17"/>
        </w:rPr>
        <w:t>.</w:t>
      </w:r>
      <w:r>
        <w:rPr>
          <w:color w:val="464646"/>
          <w:spacing w:val="-1"/>
          <w:sz w:val="17"/>
        </w:rPr>
        <w:t> </w:t>
      </w:r>
      <w:r>
        <w:rPr>
          <w:color w:val="181A1A"/>
          <w:sz w:val="17"/>
        </w:rPr>
        <w:t>C.</w:t>
      </w:r>
      <w:r>
        <w:rPr>
          <w:color w:val="464646"/>
          <w:sz w:val="17"/>
        </w:rPr>
        <w:t>,</w:t>
      </w:r>
      <w:r>
        <w:rPr>
          <w:color w:val="464646"/>
          <w:spacing w:val="2"/>
          <w:sz w:val="17"/>
        </w:rPr>
        <w:t> </w:t>
      </w:r>
      <w:r>
        <w:rPr>
          <w:color w:val="181A1A"/>
          <w:sz w:val="17"/>
        </w:rPr>
        <w:t>Babin</w:t>
      </w:r>
      <w:r>
        <w:rPr>
          <w:color w:val="363636"/>
          <w:sz w:val="17"/>
        </w:rPr>
        <w:t>,</w:t>
      </w:r>
      <w:r>
        <w:rPr>
          <w:color w:val="363636"/>
          <w:spacing w:val="3"/>
          <w:sz w:val="17"/>
        </w:rPr>
        <w:t> </w:t>
      </w:r>
      <w:r>
        <w:rPr>
          <w:color w:val="181A1A"/>
          <w:sz w:val="17"/>
        </w:rPr>
        <w:t>B.</w:t>
      </w:r>
      <w:r>
        <w:rPr>
          <w:color w:val="181A1A"/>
          <w:spacing w:val="5"/>
          <w:sz w:val="17"/>
        </w:rPr>
        <w:t> </w:t>
      </w:r>
      <w:r>
        <w:rPr>
          <w:color w:val="181A1A"/>
          <w:sz w:val="17"/>
        </w:rPr>
        <w:t>J.,</w:t>
      </w:r>
      <w:r>
        <w:rPr>
          <w:color w:val="181A1A"/>
          <w:spacing w:val="13"/>
          <w:sz w:val="17"/>
        </w:rPr>
        <w:t> </w:t>
      </w:r>
      <w:r>
        <w:rPr>
          <w:color w:val="181A1A"/>
          <w:sz w:val="17"/>
        </w:rPr>
        <w:t>&amp;</w:t>
      </w:r>
      <w:r>
        <w:rPr>
          <w:color w:val="181A1A"/>
          <w:spacing w:val="11"/>
          <w:sz w:val="17"/>
        </w:rPr>
        <w:t> </w:t>
      </w:r>
      <w:r>
        <w:rPr>
          <w:color w:val="181A1A"/>
          <w:sz w:val="17"/>
        </w:rPr>
        <w:t>Anderson</w:t>
      </w:r>
      <w:r>
        <w:rPr>
          <w:color w:val="464646"/>
          <w:sz w:val="17"/>
        </w:rPr>
        <w:t>,</w:t>
      </w:r>
      <w:r>
        <w:rPr>
          <w:color w:val="464646"/>
          <w:spacing w:val="3"/>
          <w:sz w:val="17"/>
        </w:rPr>
        <w:t> </w:t>
      </w:r>
      <w:r>
        <w:rPr>
          <w:color w:val="181A1A"/>
          <w:sz w:val="17"/>
        </w:rPr>
        <w:t>R.</w:t>
      </w:r>
      <w:r>
        <w:rPr>
          <w:color w:val="181A1A"/>
          <w:spacing w:val="5"/>
          <w:sz w:val="17"/>
        </w:rPr>
        <w:t> </w:t>
      </w:r>
      <w:r>
        <w:rPr>
          <w:color w:val="363636"/>
          <w:sz w:val="17"/>
        </w:rPr>
        <w:t>E</w:t>
      </w:r>
      <w:r>
        <w:rPr>
          <w:color w:val="181A1A"/>
          <w:sz w:val="17"/>
        </w:rPr>
        <w:t>.</w:t>
      </w:r>
      <w:r>
        <w:rPr>
          <w:color w:val="181A1A"/>
          <w:spacing w:val="-2"/>
          <w:sz w:val="17"/>
        </w:rPr>
        <w:t> </w:t>
      </w:r>
      <w:r>
        <w:rPr>
          <w:color w:val="181A1A"/>
          <w:sz w:val="17"/>
        </w:rPr>
        <w:t>(2017).</w:t>
      </w:r>
      <w:r>
        <w:rPr>
          <w:color w:val="181A1A"/>
          <w:spacing w:val="20"/>
          <w:sz w:val="17"/>
        </w:rPr>
        <w:t> </w:t>
      </w:r>
      <w:r>
        <w:rPr>
          <w:color w:val="181A1A"/>
          <w:sz w:val="17"/>
        </w:rPr>
        <w:t>Multivariate</w:t>
      </w:r>
      <w:r>
        <w:rPr>
          <w:color w:val="181A1A"/>
          <w:spacing w:val="21"/>
          <w:sz w:val="17"/>
        </w:rPr>
        <w:t> </w:t>
      </w:r>
      <w:r>
        <w:rPr>
          <w:color w:val="181A1A"/>
          <w:sz w:val="17"/>
        </w:rPr>
        <w:t>data</w:t>
      </w:r>
      <w:r>
        <w:rPr>
          <w:color w:val="181A1A"/>
          <w:spacing w:val="10"/>
          <w:sz w:val="17"/>
        </w:rPr>
        <w:t> </w:t>
      </w:r>
      <w:r>
        <w:rPr>
          <w:color w:val="181A1A"/>
          <w:sz w:val="17"/>
        </w:rPr>
        <w:t>analysis</w:t>
      </w:r>
      <w:r>
        <w:rPr>
          <w:color w:val="181A1A"/>
          <w:spacing w:val="20"/>
          <w:sz w:val="17"/>
        </w:rPr>
        <w:t> </w:t>
      </w:r>
      <w:r>
        <w:rPr>
          <w:color w:val="181A1A"/>
          <w:sz w:val="17"/>
        </w:rPr>
        <w:t>(8th</w:t>
      </w:r>
      <w:r>
        <w:rPr>
          <w:color w:val="181A1A"/>
          <w:spacing w:val="7"/>
          <w:sz w:val="17"/>
        </w:rPr>
        <w:t> </w:t>
      </w:r>
      <w:r>
        <w:rPr>
          <w:color w:val="181A1A"/>
          <w:sz w:val="17"/>
        </w:rPr>
        <w:t>ed</w:t>
      </w:r>
      <w:r>
        <w:rPr>
          <w:color w:val="363636"/>
          <w:sz w:val="17"/>
        </w:rPr>
        <w:t>.</w:t>
      </w:r>
      <w:r>
        <w:rPr>
          <w:color w:val="181A1A"/>
          <w:sz w:val="17"/>
        </w:rPr>
        <w:t>).</w:t>
      </w:r>
      <w:r>
        <w:rPr>
          <w:color w:val="181A1A"/>
          <w:spacing w:val="-8"/>
          <w:sz w:val="17"/>
        </w:rPr>
        <w:t> </w:t>
      </w:r>
      <w:r>
        <w:rPr>
          <w:color w:val="181A1A"/>
          <w:spacing w:val="-2"/>
          <w:sz w:val="17"/>
        </w:rPr>
        <w:t>Cengage</w:t>
      </w:r>
      <w:r>
        <w:rPr>
          <w:color w:val="363636"/>
          <w:spacing w:val="-2"/>
          <w:sz w:val="17"/>
        </w:rPr>
        <w:t>.</w:t>
      </w:r>
    </w:p>
    <w:p>
      <w:pPr>
        <w:spacing w:line="244" w:lineRule="auto" w:before="64"/>
        <w:ind w:left="669" w:right="315" w:hanging="349"/>
        <w:jc w:val="both"/>
        <w:rPr>
          <w:sz w:val="17"/>
        </w:rPr>
      </w:pPr>
      <w:r>
        <w:rPr>
          <w:color w:val="181A1A"/>
          <w:w w:val="105"/>
          <w:sz w:val="17"/>
        </w:rPr>
        <w:t>Hair</w:t>
      </w:r>
      <w:r>
        <w:rPr>
          <w:color w:val="464646"/>
          <w:w w:val="105"/>
          <w:sz w:val="17"/>
        </w:rPr>
        <w:t>,</w:t>
      </w:r>
      <w:r>
        <w:rPr>
          <w:color w:val="464646"/>
          <w:spacing w:val="-12"/>
          <w:w w:val="105"/>
          <w:sz w:val="17"/>
        </w:rPr>
        <w:t> </w:t>
      </w:r>
      <w:r>
        <w:rPr>
          <w:color w:val="181A1A"/>
          <w:w w:val="105"/>
          <w:sz w:val="17"/>
        </w:rPr>
        <w:t>J.</w:t>
      </w:r>
      <w:r>
        <w:rPr>
          <w:color w:val="181A1A"/>
          <w:spacing w:val="-11"/>
          <w:w w:val="105"/>
          <w:sz w:val="17"/>
        </w:rPr>
        <w:t> </w:t>
      </w:r>
      <w:r>
        <w:rPr>
          <w:color w:val="181A1A"/>
          <w:w w:val="105"/>
          <w:sz w:val="17"/>
        </w:rPr>
        <w:t>F.</w:t>
      </w:r>
      <w:r>
        <w:rPr>
          <w:color w:val="464646"/>
          <w:w w:val="105"/>
          <w:sz w:val="17"/>
        </w:rPr>
        <w:t>,</w:t>
      </w:r>
      <w:r>
        <w:rPr>
          <w:color w:val="464646"/>
          <w:spacing w:val="-11"/>
          <w:w w:val="105"/>
          <w:sz w:val="17"/>
        </w:rPr>
        <w:t> </w:t>
      </w:r>
      <w:r>
        <w:rPr>
          <w:color w:val="181A1A"/>
          <w:w w:val="105"/>
          <w:sz w:val="17"/>
        </w:rPr>
        <w:t>Risher</w:t>
      </w:r>
      <w:r>
        <w:rPr>
          <w:color w:val="464646"/>
          <w:w w:val="105"/>
          <w:sz w:val="17"/>
        </w:rPr>
        <w:t>,</w:t>
      </w:r>
      <w:r>
        <w:rPr>
          <w:color w:val="464646"/>
          <w:spacing w:val="-11"/>
          <w:w w:val="105"/>
          <w:sz w:val="17"/>
        </w:rPr>
        <w:t> </w:t>
      </w:r>
      <w:r>
        <w:rPr>
          <w:color w:val="181A1A"/>
          <w:w w:val="105"/>
          <w:sz w:val="17"/>
        </w:rPr>
        <w:t>J.</w:t>
      </w:r>
      <w:r>
        <w:rPr>
          <w:color w:val="181A1A"/>
          <w:spacing w:val="-11"/>
          <w:w w:val="105"/>
          <w:sz w:val="17"/>
        </w:rPr>
        <w:t> </w:t>
      </w:r>
      <w:r>
        <w:rPr>
          <w:color w:val="181A1A"/>
          <w:w w:val="105"/>
          <w:sz w:val="17"/>
        </w:rPr>
        <w:t>J.</w:t>
      </w:r>
      <w:r>
        <w:rPr>
          <w:color w:val="464646"/>
          <w:w w:val="105"/>
          <w:sz w:val="17"/>
        </w:rPr>
        <w:t>,</w:t>
      </w:r>
      <w:r>
        <w:rPr>
          <w:color w:val="464646"/>
          <w:spacing w:val="-11"/>
          <w:w w:val="105"/>
          <w:sz w:val="17"/>
        </w:rPr>
        <w:t> </w:t>
      </w:r>
      <w:r>
        <w:rPr>
          <w:color w:val="181A1A"/>
          <w:w w:val="105"/>
          <w:sz w:val="17"/>
        </w:rPr>
        <w:t>Rubio</w:t>
      </w:r>
      <w:r>
        <w:rPr>
          <w:color w:val="464646"/>
          <w:w w:val="105"/>
          <w:sz w:val="17"/>
        </w:rPr>
        <w:t>,</w:t>
      </w:r>
      <w:r>
        <w:rPr>
          <w:color w:val="464646"/>
          <w:spacing w:val="-12"/>
          <w:w w:val="105"/>
          <w:sz w:val="17"/>
        </w:rPr>
        <w:t> </w:t>
      </w:r>
      <w:r>
        <w:rPr>
          <w:color w:val="181A1A"/>
          <w:w w:val="105"/>
          <w:sz w:val="17"/>
        </w:rPr>
        <w:t>N.</w:t>
      </w:r>
      <w:r>
        <w:rPr>
          <w:color w:val="464646"/>
          <w:w w:val="105"/>
          <w:sz w:val="17"/>
        </w:rPr>
        <w:t>,</w:t>
      </w:r>
      <w:r>
        <w:rPr>
          <w:color w:val="464646"/>
          <w:spacing w:val="-11"/>
          <w:w w:val="105"/>
          <w:sz w:val="17"/>
        </w:rPr>
        <w:t> </w:t>
      </w:r>
      <w:r>
        <w:rPr>
          <w:color w:val="181A1A"/>
          <w:w w:val="105"/>
          <w:sz w:val="17"/>
        </w:rPr>
        <w:t>&amp;</w:t>
      </w:r>
      <w:r>
        <w:rPr>
          <w:color w:val="181A1A"/>
          <w:spacing w:val="-11"/>
          <w:w w:val="105"/>
          <w:sz w:val="17"/>
        </w:rPr>
        <w:t> </w:t>
      </w:r>
      <w:r>
        <w:rPr>
          <w:color w:val="181A1A"/>
          <w:w w:val="105"/>
          <w:sz w:val="17"/>
        </w:rPr>
        <w:t>Sarstedt</w:t>
      </w:r>
      <w:r>
        <w:rPr>
          <w:color w:val="363636"/>
          <w:w w:val="105"/>
          <w:sz w:val="17"/>
        </w:rPr>
        <w:t>,</w:t>
      </w:r>
      <w:r>
        <w:rPr>
          <w:color w:val="363636"/>
          <w:spacing w:val="-11"/>
          <w:w w:val="105"/>
          <w:sz w:val="17"/>
        </w:rPr>
        <w:t> </w:t>
      </w:r>
      <w:r>
        <w:rPr>
          <w:color w:val="181A1A"/>
          <w:w w:val="105"/>
          <w:sz w:val="17"/>
        </w:rPr>
        <w:t>M</w:t>
      </w:r>
      <w:r>
        <w:rPr>
          <w:color w:val="464646"/>
          <w:w w:val="105"/>
          <w:sz w:val="17"/>
        </w:rPr>
        <w:t>.</w:t>
      </w:r>
      <w:r>
        <w:rPr>
          <w:color w:val="464646"/>
          <w:spacing w:val="-11"/>
          <w:w w:val="105"/>
          <w:sz w:val="17"/>
        </w:rPr>
        <w:t> </w:t>
      </w:r>
      <w:r>
        <w:rPr>
          <w:color w:val="181A1A"/>
          <w:w w:val="105"/>
          <w:sz w:val="17"/>
        </w:rPr>
        <w:t>(2019)</w:t>
      </w:r>
      <w:r>
        <w:rPr>
          <w:color w:val="5B5D5D"/>
          <w:w w:val="105"/>
          <w:sz w:val="17"/>
        </w:rPr>
        <w:t>.</w:t>
      </w:r>
      <w:r>
        <w:rPr>
          <w:color w:val="5B5D5D"/>
          <w:spacing w:val="-11"/>
          <w:w w:val="105"/>
          <w:sz w:val="17"/>
        </w:rPr>
        <w:t> </w:t>
      </w:r>
      <w:r>
        <w:rPr>
          <w:color w:val="181A1A"/>
          <w:w w:val="105"/>
          <w:sz w:val="17"/>
        </w:rPr>
        <w:t>R-Squared</w:t>
      </w:r>
      <w:r>
        <w:rPr>
          <w:color w:val="181A1A"/>
          <w:spacing w:val="-12"/>
          <w:w w:val="105"/>
          <w:sz w:val="17"/>
        </w:rPr>
        <w:t> </w:t>
      </w:r>
      <w:r>
        <w:rPr>
          <w:color w:val="181A1A"/>
          <w:w w:val="105"/>
          <w:sz w:val="17"/>
        </w:rPr>
        <w:t>or</w:t>
      </w:r>
      <w:r>
        <w:rPr>
          <w:color w:val="181A1A"/>
          <w:spacing w:val="-6"/>
          <w:w w:val="105"/>
          <w:sz w:val="17"/>
        </w:rPr>
        <w:t> </w:t>
      </w:r>
      <w:r>
        <w:rPr>
          <w:color w:val="181A1A"/>
          <w:w w:val="105"/>
          <w:sz w:val="17"/>
        </w:rPr>
        <w:t>Lack</w:t>
      </w:r>
      <w:r>
        <w:rPr>
          <w:color w:val="181A1A"/>
          <w:spacing w:val="-2"/>
          <w:w w:val="105"/>
          <w:sz w:val="17"/>
        </w:rPr>
        <w:t> </w:t>
      </w:r>
      <w:r>
        <w:rPr>
          <w:color w:val="181A1A"/>
          <w:w w:val="105"/>
          <w:sz w:val="17"/>
        </w:rPr>
        <w:t>Thereof</w:t>
      </w:r>
      <w:r>
        <w:rPr>
          <w:color w:val="363636"/>
          <w:w w:val="105"/>
          <w:sz w:val="17"/>
        </w:rPr>
        <w:t>:</w:t>
      </w:r>
      <w:r>
        <w:rPr>
          <w:color w:val="363636"/>
          <w:spacing w:val="-12"/>
          <w:w w:val="105"/>
          <w:sz w:val="17"/>
        </w:rPr>
        <w:t> </w:t>
      </w:r>
      <w:r>
        <w:rPr>
          <w:color w:val="181A1A"/>
          <w:w w:val="105"/>
          <w:sz w:val="17"/>
        </w:rPr>
        <w:t>A</w:t>
      </w:r>
      <w:r>
        <w:rPr>
          <w:color w:val="181A1A"/>
          <w:spacing w:val="-7"/>
          <w:w w:val="105"/>
          <w:sz w:val="17"/>
        </w:rPr>
        <w:t> </w:t>
      </w:r>
      <w:r>
        <w:rPr>
          <w:color w:val="181A1A"/>
          <w:w w:val="105"/>
          <w:sz w:val="17"/>
        </w:rPr>
        <w:t>Critical</w:t>
      </w:r>
      <w:r>
        <w:rPr>
          <w:color w:val="181A1A"/>
          <w:spacing w:val="-1"/>
          <w:w w:val="105"/>
          <w:sz w:val="17"/>
        </w:rPr>
        <w:t> </w:t>
      </w:r>
      <w:r>
        <w:rPr>
          <w:color w:val="181A1A"/>
          <w:w w:val="105"/>
          <w:sz w:val="17"/>
        </w:rPr>
        <w:t>Discussion ofR-Squared</w:t>
      </w:r>
      <w:r>
        <w:rPr>
          <w:color w:val="181A1A"/>
          <w:w w:val="105"/>
          <w:sz w:val="17"/>
        </w:rPr>
        <w:t> and</w:t>
      </w:r>
      <w:r>
        <w:rPr>
          <w:color w:val="181A1A"/>
          <w:w w:val="105"/>
          <w:sz w:val="17"/>
        </w:rPr>
        <w:t> Its</w:t>
      </w:r>
      <w:r>
        <w:rPr>
          <w:color w:val="181A1A"/>
          <w:w w:val="105"/>
          <w:sz w:val="17"/>
        </w:rPr>
        <w:t> Alternatives.</w:t>
      </w:r>
      <w:r>
        <w:rPr>
          <w:color w:val="181A1A"/>
          <w:w w:val="105"/>
          <w:sz w:val="17"/>
        </w:rPr>
        <w:t> Journal</w:t>
      </w:r>
      <w:r>
        <w:rPr>
          <w:color w:val="181A1A"/>
          <w:w w:val="105"/>
          <w:sz w:val="17"/>
        </w:rPr>
        <w:t> of</w:t>
      </w:r>
      <w:r>
        <w:rPr>
          <w:color w:val="181A1A"/>
          <w:w w:val="105"/>
          <w:sz w:val="17"/>
        </w:rPr>
        <w:t> Marketing</w:t>
      </w:r>
      <w:r>
        <w:rPr>
          <w:color w:val="181A1A"/>
          <w:w w:val="105"/>
          <w:sz w:val="17"/>
        </w:rPr>
        <w:t> Th</w:t>
      </w:r>
      <w:r>
        <w:rPr>
          <w:color w:val="363636"/>
          <w:w w:val="105"/>
          <w:sz w:val="17"/>
        </w:rPr>
        <w:t>e</w:t>
      </w:r>
      <w:r>
        <w:rPr>
          <w:color w:val="181A1A"/>
          <w:w w:val="105"/>
          <w:sz w:val="17"/>
        </w:rPr>
        <w:t>ory</w:t>
      </w:r>
      <w:r>
        <w:rPr>
          <w:color w:val="181A1A"/>
          <w:w w:val="105"/>
          <w:sz w:val="17"/>
        </w:rPr>
        <w:t> and</w:t>
      </w:r>
      <w:r>
        <w:rPr>
          <w:color w:val="181A1A"/>
          <w:w w:val="105"/>
          <w:sz w:val="17"/>
        </w:rPr>
        <w:t> Practice,</w:t>
      </w:r>
      <w:r>
        <w:rPr>
          <w:color w:val="181A1A"/>
          <w:w w:val="105"/>
          <w:sz w:val="17"/>
        </w:rPr>
        <w:t> 27(3)</w:t>
      </w:r>
      <w:r>
        <w:rPr>
          <w:color w:val="464646"/>
          <w:w w:val="105"/>
          <w:sz w:val="17"/>
        </w:rPr>
        <w:t>,</w:t>
      </w:r>
      <w:r>
        <w:rPr>
          <w:color w:val="464646"/>
          <w:w w:val="105"/>
          <w:sz w:val="17"/>
        </w:rPr>
        <w:t> </w:t>
      </w:r>
      <w:r>
        <w:rPr>
          <w:color w:val="181A1A"/>
          <w:w w:val="105"/>
          <w:sz w:val="17"/>
        </w:rPr>
        <w:t>259-271. </w:t>
      </w:r>
      <w:r>
        <w:rPr>
          <w:color w:val="181A1A"/>
          <w:spacing w:val="-2"/>
          <w:w w:val="105"/>
          <w:sz w:val="17"/>
        </w:rPr>
        <w:t>doi</w:t>
      </w:r>
      <w:r>
        <w:rPr>
          <w:color w:val="363636"/>
          <w:spacing w:val="-2"/>
          <w:w w:val="105"/>
          <w:sz w:val="17"/>
        </w:rPr>
        <w:t>:</w:t>
      </w:r>
      <w:r>
        <w:rPr>
          <w:color w:val="181A1A"/>
          <w:spacing w:val="-2"/>
          <w:w w:val="105"/>
          <w:sz w:val="17"/>
        </w:rPr>
        <w:t>10.1080/10696679.2019.1606104</w:t>
      </w:r>
    </w:p>
    <w:p>
      <w:pPr>
        <w:spacing w:line="247" w:lineRule="auto" w:before="56"/>
        <w:ind w:left="669" w:right="319" w:hanging="344"/>
        <w:jc w:val="both"/>
        <w:rPr>
          <w:sz w:val="17"/>
        </w:rPr>
      </w:pPr>
      <w:r>
        <w:rPr>
          <w:color w:val="181A1A"/>
          <w:sz w:val="17"/>
        </w:rPr>
        <w:t>Hasan,</w:t>
      </w:r>
      <w:r>
        <w:rPr>
          <w:color w:val="181A1A"/>
          <w:spacing w:val="17"/>
          <w:sz w:val="17"/>
        </w:rPr>
        <w:t> </w:t>
      </w:r>
      <w:r>
        <w:rPr>
          <w:color w:val="181A1A"/>
          <w:sz w:val="17"/>
        </w:rPr>
        <w:t>M. M.</w:t>
      </w:r>
      <w:r>
        <w:rPr>
          <w:color w:val="464646"/>
          <w:sz w:val="17"/>
        </w:rPr>
        <w:t>, </w:t>
      </w:r>
      <w:r>
        <w:rPr>
          <w:color w:val="181A1A"/>
          <w:sz w:val="17"/>
        </w:rPr>
        <w:t>&amp; Hossain,</w:t>
      </w:r>
      <w:r>
        <w:rPr>
          <w:color w:val="181A1A"/>
          <w:spacing w:val="17"/>
          <w:sz w:val="17"/>
        </w:rPr>
        <w:t> </w:t>
      </w:r>
      <w:r>
        <w:rPr>
          <w:color w:val="181A1A"/>
          <w:sz w:val="17"/>
        </w:rPr>
        <w:t>M.</w:t>
      </w:r>
      <w:r>
        <w:rPr>
          <w:color w:val="181A1A"/>
          <w:spacing w:val="12"/>
          <w:sz w:val="17"/>
        </w:rPr>
        <w:t> </w:t>
      </w:r>
      <w:r>
        <w:rPr>
          <w:color w:val="181A1A"/>
          <w:sz w:val="17"/>
        </w:rPr>
        <w:t>A.</w:t>
      </w:r>
      <w:r>
        <w:rPr>
          <w:color w:val="181A1A"/>
          <w:spacing w:val="13"/>
          <w:sz w:val="17"/>
        </w:rPr>
        <w:t> </w:t>
      </w:r>
      <w:r>
        <w:rPr>
          <w:color w:val="181A1A"/>
          <w:sz w:val="17"/>
        </w:rPr>
        <w:t>(2018).</w:t>
      </w:r>
      <w:r>
        <w:rPr>
          <w:color w:val="181A1A"/>
          <w:spacing w:val="20"/>
          <w:sz w:val="17"/>
        </w:rPr>
        <w:t> </w:t>
      </w:r>
      <w:r>
        <w:rPr>
          <w:color w:val="181A1A"/>
          <w:sz w:val="17"/>
        </w:rPr>
        <w:t>Impact</w:t>
      </w:r>
      <w:r>
        <w:rPr>
          <w:color w:val="181A1A"/>
          <w:spacing w:val="16"/>
          <w:sz w:val="17"/>
        </w:rPr>
        <w:t> </w:t>
      </w:r>
      <w:r>
        <w:rPr>
          <w:color w:val="181A1A"/>
          <w:sz w:val="17"/>
        </w:rPr>
        <w:t>of</w:t>
      </w:r>
      <w:r>
        <w:rPr>
          <w:color w:val="181A1A"/>
          <w:spacing w:val="18"/>
          <w:sz w:val="17"/>
        </w:rPr>
        <w:t> </w:t>
      </w:r>
      <w:r>
        <w:rPr>
          <w:color w:val="181A1A"/>
          <w:sz w:val="17"/>
        </w:rPr>
        <w:t>training</w:t>
      </w:r>
      <w:r>
        <w:rPr>
          <w:color w:val="181A1A"/>
          <w:spacing w:val="18"/>
          <w:sz w:val="17"/>
        </w:rPr>
        <w:t> </w:t>
      </w:r>
      <w:r>
        <w:rPr>
          <w:color w:val="181A1A"/>
          <w:sz w:val="17"/>
        </w:rPr>
        <w:t>and</w:t>
      </w:r>
      <w:r>
        <w:rPr>
          <w:color w:val="181A1A"/>
          <w:spacing w:val="14"/>
          <w:sz w:val="17"/>
        </w:rPr>
        <w:t> </w:t>
      </w:r>
      <w:r>
        <w:rPr>
          <w:color w:val="181A1A"/>
          <w:sz w:val="17"/>
        </w:rPr>
        <w:t>development</w:t>
      </w:r>
      <w:r>
        <w:rPr>
          <w:color w:val="181A1A"/>
          <w:spacing w:val="26"/>
          <w:sz w:val="17"/>
        </w:rPr>
        <w:t> </w:t>
      </w:r>
      <w:r>
        <w:rPr>
          <w:color w:val="181A1A"/>
          <w:sz w:val="17"/>
        </w:rPr>
        <w:t>on</w:t>
      </w:r>
      <w:r>
        <w:rPr>
          <w:color w:val="181A1A"/>
          <w:spacing w:val="20"/>
          <w:sz w:val="17"/>
        </w:rPr>
        <w:t> </w:t>
      </w:r>
      <w:r>
        <w:rPr>
          <w:color w:val="181A1A"/>
          <w:sz w:val="17"/>
        </w:rPr>
        <w:t>employee</w:t>
      </w:r>
      <w:r>
        <w:rPr>
          <w:color w:val="181A1A"/>
          <w:spacing w:val="22"/>
          <w:sz w:val="17"/>
        </w:rPr>
        <w:t> </w:t>
      </w:r>
      <w:r>
        <w:rPr>
          <w:color w:val="181A1A"/>
          <w:sz w:val="17"/>
        </w:rPr>
        <w:t>performance</w:t>
      </w:r>
      <w:r>
        <w:rPr>
          <w:color w:val="363636"/>
          <w:sz w:val="17"/>
        </w:rPr>
        <w:t>: </w:t>
      </w:r>
      <w:r>
        <w:rPr>
          <w:color w:val="181A1A"/>
          <w:sz w:val="17"/>
        </w:rPr>
        <w:t>A</w:t>
      </w:r>
      <w:r>
        <w:rPr>
          <w:color w:val="181A1A"/>
          <w:spacing w:val="12"/>
          <w:sz w:val="17"/>
        </w:rPr>
        <w:t> </w:t>
      </w:r>
      <w:r>
        <w:rPr>
          <w:color w:val="181A1A"/>
          <w:sz w:val="17"/>
        </w:rPr>
        <w:t>study on RMG sector in Bangladesh.</w:t>
      </w:r>
      <w:r>
        <w:rPr>
          <w:color w:val="181A1A"/>
          <w:spacing w:val="35"/>
          <w:sz w:val="17"/>
        </w:rPr>
        <w:t> </w:t>
      </w:r>
      <w:r>
        <w:rPr>
          <w:color w:val="181A1A"/>
          <w:sz w:val="17"/>
        </w:rPr>
        <w:t>IOSR Journal</w:t>
      </w:r>
      <w:r>
        <w:rPr>
          <w:color w:val="181A1A"/>
          <w:spacing w:val="39"/>
          <w:sz w:val="17"/>
        </w:rPr>
        <w:t> </w:t>
      </w:r>
      <w:r>
        <w:rPr>
          <w:color w:val="181A1A"/>
          <w:sz w:val="17"/>
        </w:rPr>
        <w:t>of Business and Management</w:t>
      </w:r>
      <w:r>
        <w:rPr>
          <w:color w:val="363636"/>
          <w:sz w:val="17"/>
        </w:rPr>
        <w:t>, </w:t>
      </w:r>
      <w:r>
        <w:rPr>
          <w:color w:val="181A1A"/>
          <w:sz w:val="17"/>
        </w:rPr>
        <w:t>20(3)</w:t>
      </w:r>
      <w:r>
        <w:rPr>
          <w:color w:val="363636"/>
          <w:sz w:val="17"/>
        </w:rPr>
        <w:t>, </w:t>
      </w:r>
      <w:r>
        <w:rPr>
          <w:color w:val="181A1A"/>
          <w:sz w:val="17"/>
        </w:rPr>
        <w:t>1-10</w:t>
      </w:r>
      <w:r>
        <w:rPr>
          <w:color w:val="363636"/>
          <w:sz w:val="17"/>
        </w:rPr>
        <w:t>.</w:t>
      </w:r>
    </w:p>
    <w:p>
      <w:pPr>
        <w:spacing w:line="247" w:lineRule="auto" w:before="58"/>
        <w:ind w:left="669" w:right="305" w:hanging="344"/>
        <w:jc w:val="both"/>
        <w:rPr>
          <w:sz w:val="17"/>
        </w:rPr>
      </w:pPr>
      <w:r>
        <w:rPr>
          <w:color w:val="181A1A"/>
          <w:sz w:val="17"/>
        </w:rPr>
        <w:t>Hayes, A. F</w:t>
      </w:r>
      <w:r>
        <w:rPr>
          <w:color w:val="363636"/>
          <w:sz w:val="17"/>
        </w:rPr>
        <w:t>. </w:t>
      </w:r>
      <w:r>
        <w:rPr>
          <w:color w:val="181A1A"/>
          <w:sz w:val="17"/>
        </w:rPr>
        <w:t>(2018)</w:t>
      </w:r>
      <w:r>
        <w:rPr>
          <w:color w:val="363636"/>
          <w:sz w:val="17"/>
        </w:rPr>
        <w:t>. </w:t>
      </w:r>
      <w:r>
        <w:rPr>
          <w:color w:val="181A1A"/>
          <w:sz w:val="17"/>
        </w:rPr>
        <w:t>Introduction to mediation, moderation, and conditional process analysis: A regression-based approach (2nd ed</w:t>
      </w:r>
      <w:r>
        <w:rPr>
          <w:color w:val="464646"/>
          <w:sz w:val="17"/>
        </w:rPr>
        <w:t>.</w:t>
      </w:r>
      <w:r>
        <w:rPr>
          <w:color w:val="181A1A"/>
          <w:sz w:val="17"/>
        </w:rPr>
        <w:t>)</w:t>
      </w:r>
      <w:r>
        <w:rPr>
          <w:color w:val="363636"/>
          <w:sz w:val="17"/>
        </w:rPr>
        <w:t>. </w:t>
      </w:r>
      <w:r>
        <w:rPr>
          <w:color w:val="181A1A"/>
          <w:sz w:val="17"/>
        </w:rPr>
        <w:t>Guilford Press</w:t>
      </w:r>
      <w:r>
        <w:rPr>
          <w:color w:val="464646"/>
          <w:sz w:val="17"/>
        </w:rPr>
        <w:t>.</w:t>
      </w:r>
    </w:p>
    <w:p>
      <w:pPr>
        <w:spacing w:line="247" w:lineRule="auto" w:before="54"/>
        <w:ind w:left="674" w:right="315" w:hanging="353"/>
        <w:jc w:val="both"/>
        <w:rPr>
          <w:sz w:val="17"/>
        </w:rPr>
      </w:pPr>
      <w:r>
        <w:rPr>
          <w:color w:val="181A1A"/>
          <w:sz w:val="17"/>
        </w:rPr>
        <w:t>Hos</w:t>
      </w:r>
      <w:r>
        <w:rPr>
          <w:color w:val="363636"/>
          <w:sz w:val="17"/>
        </w:rPr>
        <w:t>s</w:t>
      </w:r>
      <w:r>
        <w:rPr>
          <w:color w:val="181A1A"/>
          <w:sz w:val="17"/>
        </w:rPr>
        <w:t>ain, M</w:t>
      </w:r>
      <w:r>
        <w:rPr>
          <w:color w:val="6E6E6E"/>
          <w:sz w:val="17"/>
        </w:rPr>
        <w:t>.</w:t>
      </w:r>
      <w:r>
        <w:rPr>
          <w:color w:val="181A1A"/>
          <w:sz w:val="17"/>
        </w:rPr>
        <w:t>A</w:t>
      </w:r>
      <w:r>
        <w:rPr>
          <w:color w:val="363636"/>
          <w:sz w:val="17"/>
        </w:rPr>
        <w:t>.,</w:t>
      </w:r>
      <w:r>
        <w:rPr>
          <w:color w:val="363636"/>
          <w:spacing w:val="-2"/>
          <w:sz w:val="17"/>
        </w:rPr>
        <w:t> </w:t>
      </w:r>
      <w:r>
        <w:rPr>
          <w:color w:val="181A1A"/>
          <w:sz w:val="17"/>
        </w:rPr>
        <w:t>&amp; Islam</w:t>
      </w:r>
      <w:r>
        <w:rPr>
          <w:color w:val="363636"/>
          <w:sz w:val="17"/>
        </w:rPr>
        <w:t>, </w:t>
      </w:r>
      <w:r>
        <w:rPr>
          <w:color w:val="181A1A"/>
          <w:sz w:val="17"/>
        </w:rPr>
        <w:t>M</w:t>
      </w:r>
      <w:r>
        <w:rPr>
          <w:color w:val="6E6E6E"/>
          <w:sz w:val="17"/>
        </w:rPr>
        <w:t>. </w:t>
      </w:r>
      <w:r>
        <w:rPr>
          <w:color w:val="181A1A"/>
          <w:sz w:val="17"/>
        </w:rPr>
        <w:t>S. (2019). Impact of training and development</w:t>
      </w:r>
      <w:r>
        <w:rPr>
          <w:color w:val="181A1A"/>
          <w:spacing w:val="34"/>
          <w:sz w:val="17"/>
        </w:rPr>
        <w:t> </w:t>
      </w:r>
      <w:r>
        <w:rPr>
          <w:color w:val="181A1A"/>
          <w:sz w:val="17"/>
        </w:rPr>
        <w:t>on employee performance</w:t>
      </w:r>
      <w:r>
        <w:rPr>
          <w:color w:val="363636"/>
          <w:sz w:val="17"/>
        </w:rPr>
        <w:t>:</w:t>
      </w:r>
      <w:r>
        <w:rPr>
          <w:color w:val="363636"/>
          <w:spacing w:val="-2"/>
          <w:sz w:val="17"/>
        </w:rPr>
        <w:t> </w:t>
      </w:r>
      <w:r>
        <w:rPr>
          <w:color w:val="181A1A"/>
          <w:sz w:val="17"/>
        </w:rPr>
        <w:t>A study on readymade</w:t>
      </w:r>
      <w:r>
        <w:rPr>
          <w:color w:val="181A1A"/>
          <w:spacing w:val="35"/>
          <w:sz w:val="17"/>
        </w:rPr>
        <w:t> </w:t>
      </w:r>
      <w:r>
        <w:rPr>
          <w:color w:val="181A1A"/>
          <w:sz w:val="17"/>
        </w:rPr>
        <w:t>garments sector in Bangladesh</w:t>
      </w:r>
      <w:r>
        <w:rPr>
          <w:color w:val="464646"/>
          <w:sz w:val="17"/>
        </w:rPr>
        <w:t>. </w:t>
      </w:r>
      <w:r>
        <w:rPr>
          <w:color w:val="181A1A"/>
          <w:sz w:val="17"/>
        </w:rPr>
        <w:t>International Journal of Business and Management</w:t>
      </w:r>
      <w:r>
        <w:rPr>
          <w:color w:val="363636"/>
          <w:sz w:val="17"/>
        </w:rPr>
        <w:t>, </w:t>
      </w:r>
      <w:r>
        <w:rPr>
          <w:color w:val="181A1A"/>
          <w:sz w:val="17"/>
        </w:rPr>
        <w:t>14(7), 1-10.</w:t>
      </w:r>
    </w:p>
    <w:p>
      <w:pPr>
        <w:spacing w:before="59"/>
        <w:ind w:left="669" w:right="331" w:hanging="348"/>
        <w:jc w:val="both"/>
        <w:rPr>
          <w:sz w:val="17"/>
        </w:rPr>
      </w:pPr>
      <w:r>
        <w:rPr>
          <w:color w:val="181A1A"/>
          <w:sz w:val="17"/>
        </w:rPr>
        <w:t>Hu</w:t>
      </w:r>
      <w:r>
        <w:rPr>
          <w:color w:val="363636"/>
          <w:sz w:val="17"/>
        </w:rPr>
        <w:t>, </w:t>
      </w:r>
      <w:r>
        <w:rPr>
          <w:color w:val="181A1A"/>
          <w:sz w:val="17"/>
        </w:rPr>
        <w:t>L. T</w:t>
      </w:r>
      <w:r>
        <w:rPr>
          <w:color w:val="464646"/>
          <w:sz w:val="17"/>
        </w:rPr>
        <w:t>., </w:t>
      </w:r>
      <w:r>
        <w:rPr>
          <w:color w:val="181A1A"/>
          <w:sz w:val="17"/>
        </w:rPr>
        <w:t>&amp; Bentler</w:t>
      </w:r>
      <w:r>
        <w:rPr>
          <w:color w:val="363636"/>
          <w:sz w:val="17"/>
        </w:rPr>
        <w:t>, </w:t>
      </w:r>
      <w:r>
        <w:rPr>
          <w:color w:val="181A1A"/>
          <w:sz w:val="17"/>
        </w:rPr>
        <w:t>P</w:t>
      </w:r>
      <w:r>
        <w:rPr>
          <w:color w:val="363636"/>
          <w:sz w:val="17"/>
        </w:rPr>
        <w:t>. </w:t>
      </w:r>
      <w:r>
        <w:rPr>
          <w:color w:val="181A1A"/>
          <w:sz w:val="17"/>
        </w:rPr>
        <w:t>M</w:t>
      </w:r>
      <w:r>
        <w:rPr>
          <w:color w:val="5B5D5D"/>
          <w:sz w:val="17"/>
        </w:rPr>
        <w:t>. </w:t>
      </w:r>
      <w:r>
        <w:rPr>
          <w:color w:val="181A1A"/>
          <w:sz w:val="17"/>
        </w:rPr>
        <w:t>(1999)</w:t>
      </w:r>
      <w:r>
        <w:rPr>
          <w:color w:val="363636"/>
          <w:sz w:val="17"/>
        </w:rPr>
        <w:t>. </w:t>
      </w:r>
      <w:r>
        <w:rPr>
          <w:color w:val="181A1A"/>
          <w:sz w:val="17"/>
        </w:rPr>
        <w:t>Cutoff criteria for fit indexes in covariance structure analysis</w:t>
      </w:r>
      <w:r>
        <w:rPr>
          <w:color w:val="363636"/>
          <w:sz w:val="17"/>
        </w:rPr>
        <w:t>: </w:t>
      </w:r>
      <w:r>
        <w:rPr>
          <w:color w:val="181A1A"/>
          <w:sz w:val="17"/>
        </w:rPr>
        <w:t>Conventional criteria versus new alternatives. Structural</w:t>
      </w:r>
      <w:r>
        <w:rPr>
          <w:color w:val="181A1A"/>
          <w:spacing w:val="38"/>
          <w:sz w:val="17"/>
        </w:rPr>
        <w:t> </w:t>
      </w:r>
      <w:r>
        <w:rPr>
          <w:color w:val="363636"/>
          <w:sz w:val="17"/>
        </w:rPr>
        <w:t>E</w:t>
      </w:r>
      <w:r>
        <w:rPr>
          <w:color w:val="181A1A"/>
          <w:sz w:val="17"/>
        </w:rPr>
        <w:t>quation Modeling: A Multidisciplinary Journal</w:t>
      </w:r>
      <w:r>
        <w:rPr>
          <w:color w:val="363636"/>
          <w:sz w:val="17"/>
        </w:rPr>
        <w:t>, </w:t>
      </w:r>
      <w:r>
        <w:rPr>
          <w:color w:val="181A1A"/>
          <w:sz w:val="17"/>
        </w:rPr>
        <w:t>6(1)</w:t>
      </w:r>
      <w:r>
        <w:rPr>
          <w:color w:val="464646"/>
          <w:sz w:val="17"/>
        </w:rPr>
        <w:t>, </w:t>
      </w:r>
      <w:r>
        <w:rPr>
          <w:color w:val="181A1A"/>
          <w:sz w:val="17"/>
        </w:rPr>
        <w:t>1-55.</w:t>
      </w:r>
    </w:p>
    <w:p>
      <w:pPr>
        <w:spacing w:line="244" w:lineRule="auto" w:before="65"/>
        <w:ind w:left="672" w:right="316" w:hanging="348"/>
        <w:jc w:val="both"/>
        <w:rPr>
          <w:sz w:val="17"/>
        </w:rPr>
      </w:pPr>
      <w:r>
        <w:rPr>
          <w:color w:val="181A1A"/>
          <w:sz w:val="17"/>
        </w:rPr>
        <w:t>Jiang</w:t>
      </w:r>
      <w:r>
        <w:rPr>
          <w:color w:val="363636"/>
          <w:sz w:val="17"/>
        </w:rPr>
        <w:t>, </w:t>
      </w:r>
      <w:r>
        <w:rPr>
          <w:color w:val="181A1A"/>
          <w:sz w:val="17"/>
        </w:rPr>
        <w:t>K</w:t>
      </w:r>
      <w:r>
        <w:rPr>
          <w:color w:val="464646"/>
          <w:sz w:val="17"/>
        </w:rPr>
        <w:t>.</w:t>
      </w:r>
      <w:r>
        <w:rPr>
          <w:color w:val="181A1A"/>
          <w:sz w:val="17"/>
        </w:rPr>
        <w:t>, Lepak</w:t>
      </w:r>
      <w:r>
        <w:rPr>
          <w:color w:val="363636"/>
          <w:sz w:val="17"/>
        </w:rPr>
        <w:t>, </w:t>
      </w:r>
      <w:r>
        <w:rPr>
          <w:color w:val="181A1A"/>
          <w:sz w:val="17"/>
        </w:rPr>
        <w:t>D</w:t>
      </w:r>
      <w:r>
        <w:rPr>
          <w:color w:val="464646"/>
          <w:sz w:val="17"/>
        </w:rPr>
        <w:t>. </w:t>
      </w:r>
      <w:r>
        <w:rPr>
          <w:color w:val="181A1A"/>
          <w:sz w:val="17"/>
        </w:rPr>
        <w:t>P</w:t>
      </w:r>
      <w:r>
        <w:rPr>
          <w:color w:val="464646"/>
          <w:sz w:val="17"/>
        </w:rPr>
        <w:t>., </w:t>
      </w:r>
      <w:r>
        <w:rPr>
          <w:color w:val="181A1A"/>
          <w:sz w:val="17"/>
        </w:rPr>
        <w:t>Han, K.</w:t>
      </w:r>
      <w:r>
        <w:rPr>
          <w:color w:val="464646"/>
          <w:sz w:val="17"/>
        </w:rPr>
        <w:t>, </w:t>
      </w:r>
      <w:r>
        <w:rPr>
          <w:color w:val="181A1A"/>
          <w:sz w:val="17"/>
        </w:rPr>
        <w:t>Hong</w:t>
      </w:r>
      <w:r>
        <w:rPr>
          <w:color w:val="363636"/>
          <w:sz w:val="17"/>
        </w:rPr>
        <w:t>, </w:t>
      </w:r>
      <w:r>
        <w:rPr>
          <w:color w:val="181A1A"/>
          <w:sz w:val="17"/>
        </w:rPr>
        <w:t>Y</w:t>
      </w:r>
      <w:r>
        <w:rPr>
          <w:color w:val="464646"/>
          <w:sz w:val="17"/>
        </w:rPr>
        <w:t>.</w:t>
      </w:r>
      <w:r>
        <w:rPr>
          <w:color w:val="181A1A"/>
          <w:sz w:val="17"/>
        </w:rPr>
        <w:t>, Kim, A.</w:t>
      </w:r>
      <w:r>
        <w:rPr>
          <w:color w:val="363636"/>
          <w:sz w:val="17"/>
        </w:rPr>
        <w:t>, </w:t>
      </w:r>
      <w:r>
        <w:rPr>
          <w:color w:val="181A1A"/>
          <w:sz w:val="17"/>
        </w:rPr>
        <w:t>&amp; Winkler, A</w:t>
      </w:r>
      <w:r>
        <w:rPr>
          <w:color w:val="464646"/>
          <w:sz w:val="17"/>
        </w:rPr>
        <w:t>. </w:t>
      </w:r>
      <w:r>
        <w:rPr>
          <w:color w:val="181A1A"/>
          <w:sz w:val="17"/>
        </w:rPr>
        <w:t>L. (2019)</w:t>
      </w:r>
      <w:r>
        <w:rPr>
          <w:color w:val="363636"/>
          <w:sz w:val="17"/>
        </w:rPr>
        <w:t>. </w:t>
      </w:r>
      <w:r>
        <w:rPr>
          <w:color w:val="181A1A"/>
          <w:sz w:val="17"/>
        </w:rPr>
        <w:t>Clarifying the construct of human resource systems: Relating human resource management to employee performance</w:t>
      </w:r>
      <w:r>
        <w:rPr>
          <w:color w:val="464646"/>
          <w:sz w:val="17"/>
        </w:rPr>
        <w:t>. </w:t>
      </w:r>
      <w:r>
        <w:rPr>
          <w:color w:val="181A1A"/>
          <w:sz w:val="17"/>
        </w:rPr>
        <w:t>Human Resource Management Review</w:t>
      </w:r>
      <w:r>
        <w:rPr>
          <w:color w:val="363636"/>
          <w:sz w:val="17"/>
        </w:rPr>
        <w:t>, </w:t>
      </w:r>
      <w:r>
        <w:rPr>
          <w:color w:val="181A1A"/>
          <w:sz w:val="17"/>
        </w:rPr>
        <w:t>29(2), 127-139.</w:t>
      </w:r>
    </w:p>
    <w:p>
      <w:pPr>
        <w:spacing w:line="247" w:lineRule="auto" w:before="56"/>
        <w:ind w:left="672" w:right="313" w:hanging="347"/>
        <w:jc w:val="both"/>
        <w:rPr>
          <w:sz w:val="17"/>
        </w:rPr>
      </w:pPr>
      <w:r>
        <w:rPr>
          <w:color w:val="181A1A"/>
          <w:sz w:val="17"/>
        </w:rPr>
        <w:t>Krejcie, R. V., &amp; Morgan</w:t>
      </w:r>
      <w:r>
        <w:rPr>
          <w:color w:val="363636"/>
          <w:sz w:val="17"/>
        </w:rPr>
        <w:t>, </w:t>
      </w:r>
      <w:r>
        <w:rPr>
          <w:color w:val="181A1A"/>
          <w:sz w:val="17"/>
        </w:rPr>
        <w:t>D. W. (1970). Determining sample si</w:t>
      </w:r>
      <w:r>
        <w:rPr>
          <w:color w:val="363636"/>
          <w:sz w:val="17"/>
        </w:rPr>
        <w:t>z</w:t>
      </w:r>
      <w:r>
        <w:rPr>
          <w:color w:val="181A1A"/>
          <w:sz w:val="17"/>
        </w:rPr>
        <w:t>e for research activities. </w:t>
      </w:r>
      <w:r>
        <w:rPr>
          <w:color w:val="363636"/>
          <w:sz w:val="17"/>
        </w:rPr>
        <w:t>E</w:t>
      </w:r>
      <w:r>
        <w:rPr>
          <w:color w:val="181A1A"/>
          <w:sz w:val="17"/>
        </w:rPr>
        <w:t>ducational and Psychological</w:t>
      </w:r>
      <w:r>
        <w:rPr>
          <w:color w:val="181A1A"/>
          <w:spacing w:val="40"/>
          <w:sz w:val="17"/>
        </w:rPr>
        <w:t> </w:t>
      </w:r>
      <w:r>
        <w:rPr>
          <w:color w:val="181A1A"/>
          <w:sz w:val="17"/>
        </w:rPr>
        <w:t>Measurement,</w:t>
      </w:r>
      <w:r>
        <w:rPr>
          <w:color w:val="181A1A"/>
          <w:spacing w:val="40"/>
          <w:sz w:val="17"/>
        </w:rPr>
        <w:t> </w:t>
      </w:r>
      <w:r>
        <w:rPr>
          <w:color w:val="181A1A"/>
          <w:sz w:val="17"/>
        </w:rPr>
        <w:t>30(3)</w:t>
      </w:r>
      <w:r>
        <w:rPr>
          <w:color w:val="464646"/>
          <w:sz w:val="17"/>
        </w:rPr>
        <w:t>, </w:t>
      </w:r>
      <w:r>
        <w:rPr>
          <w:color w:val="181A1A"/>
          <w:sz w:val="17"/>
        </w:rPr>
        <w:t>607-610.</w:t>
      </w:r>
    </w:p>
    <w:p>
      <w:pPr>
        <w:pStyle w:val="BodyText"/>
        <w:rPr>
          <w:sz w:val="17"/>
        </w:rPr>
      </w:pPr>
    </w:p>
    <w:p>
      <w:pPr>
        <w:pStyle w:val="BodyText"/>
        <w:rPr>
          <w:sz w:val="17"/>
        </w:rPr>
      </w:pPr>
    </w:p>
    <w:p>
      <w:pPr>
        <w:pStyle w:val="BodyText"/>
        <w:rPr>
          <w:sz w:val="17"/>
        </w:rPr>
      </w:pPr>
    </w:p>
    <w:p>
      <w:pPr>
        <w:pStyle w:val="BodyText"/>
        <w:rPr>
          <w:sz w:val="17"/>
        </w:rPr>
      </w:pPr>
    </w:p>
    <w:p>
      <w:pPr>
        <w:pStyle w:val="BodyText"/>
        <w:spacing w:before="13"/>
        <w:rPr>
          <w:sz w:val="17"/>
        </w:rPr>
      </w:pPr>
    </w:p>
    <w:p>
      <w:pPr>
        <w:spacing w:before="1"/>
        <w:ind w:left="859" w:right="823" w:firstLine="0"/>
        <w:jc w:val="center"/>
        <w:rPr>
          <w:sz w:val="17"/>
        </w:rPr>
      </w:pPr>
      <w:r>
        <w:rPr>
          <w:color w:val="363636"/>
          <w:spacing w:val="-5"/>
          <w:w w:val="110"/>
          <w:sz w:val="17"/>
        </w:rPr>
        <w:t>76</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849" w:right="823" w:firstLine="0"/>
        <w:jc w:val="center"/>
        <w:rPr>
          <w:i/>
          <w:sz w:val="18"/>
        </w:rPr>
      </w:pPr>
      <w:bookmarkStart w:name="Page 77" w:id="21"/>
      <w:bookmarkEnd w:id="21"/>
      <w:r>
        <w:rPr/>
      </w:r>
      <w:r>
        <w:rPr>
          <w:i/>
          <w:color w:val="3B3A3A"/>
          <w:sz w:val="18"/>
        </w:rPr>
        <w:t>Mahbub</w:t>
      </w:r>
      <w:r>
        <w:rPr>
          <w:i/>
          <w:color w:val="525252"/>
          <w:sz w:val="18"/>
        </w:rPr>
        <w:t>/</w:t>
      </w:r>
      <w:r>
        <w:rPr>
          <w:i/>
          <w:color w:val="3B3A3A"/>
          <w:sz w:val="18"/>
        </w:rPr>
        <w:t>Comilla</w:t>
      </w:r>
      <w:r>
        <w:rPr>
          <w:i/>
          <w:color w:val="3B3A3A"/>
          <w:spacing w:val="-12"/>
          <w:sz w:val="18"/>
        </w:rPr>
        <w:t> </w:t>
      </w:r>
      <w:r>
        <w:rPr>
          <w:i/>
          <w:color w:val="3B3A3A"/>
          <w:sz w:val="18"/>
        </w:rPr>
        <w:t>Un</w:t>
      </w:r>
      <w:r>
        <w:rPr>
          <w:i/>
          <w:color w:val="181A1A"/>
          <w:sz w:val="18"/>
        </w:rPr>
        <w:t>i</w:t>
      </w:r>
      <w:r>
        <w:rPr>
          <w:i/>
          <w:color w:val="3B3A3A"/>
          <w:sz w:val="18"/>
        </w:rPr>
        <w:t>versity</w:t>
      </w:r>
      <w:r>
        <w:rPr>
          <w:i/>
          <w:color w:val="3B3A3A"/>
          <w:spacing w:val="-11"/>
          <w:sz w:val="18"/>
        </w:rPr>
        <w:t> </w:t>
      </w:r>
      <w:r>
        <w:rPr>
          <w:i/>
          <w:color w:val="3B3A3A"/>
          <w:sz w:val="18"/>
        </w:rPr>
        <w:t>Journal</w:t>
      </w:r>
      <w:r>
        <w:rPr>
          <w:i/>
          <w:color w:val="3B3A3A"/>
          <w:spacing w:val="-6"/>
          <w:sz w:val="18"/>
        </w:rPr>
        <w:t> </w:t>
      </w:r>
      <w:r>
        <w:rPr>
          <w:i/>
          <w:color w:val="3B3A3A"/>
          <w:sz w:val="18"/>
        </w:rPr>
        <w:t>of</w:t>
      </w:r>
      <w:r>
        <w:rPr>
          <w:i/>
          <w:color w:val="3B3A3A"/>
          <w:spacing w:val="-5"/>
          <w:sz w:val="18"/>
        </w:rPr>
        <w:t> </w:t>
      </w:r>
      <w:r>
        <w:rPr>
          <w:i/>
          <w:color w:val="3B3A3A"/>
          <w:sz w:val="18"/>
        </w:rPr>
        <w:t>Business</w:t>
      </w:r>
      <w:r>
        <w:rPr>
          <w:i/>
          <w:color w:val="3B3A3A"/>
          <w:spacing w:val="-2"/>
          <w:sz w:val="18"/>
        </w:rPr>
        <w:t> </w:t>
      </w:r>
      <w:r>
        <w:rPr>
          <w:i/>
          <w:color w:val="3B3A3A"/>
          <w:sz w:val="18"/>
        </w:rPr>
        <w:t>Studies</w:t>
      </w:r>
      <w:r>
        <w:rPr>
          <w:i/>
          <w:color w:val="3B3A3A"/>
          <w:spacing w:val="51"/>
          <w:sz w:val="18"/>
        </w:rPr>
        <w:t> </w:t>
      </w:r>
      <w:r>
        <w:rPr>
          <w:i/>
          <w:color w:val="181A1A"/>
          <w:sz w:val="18"/>
        </w:rPr>
        <w:t>IO</w:t>
      </w:r>
      <w:r>
        <w:rPr>
          <w:i/>
          <w:color w:val="181A1A"/>
          <w:spacing w:val="-11"/>
          <w:sz w:val="18"/>
        </w:rPr>
        <w:t> </w:t>
      </w:r>
      <w:r>
        <w:rPr>
          <w:i/>
          <w:color w:val="3B3A3A"/>
          <w:sz w:val="18"/>
        </w:rPr>
        <w:t>(2023)</w:t>
      </w:r>
      <w:r>
        <w:rPr>
          <w:i/>
          <w:color w:val="3B3A3A"/>
          <w:spacing w:val="-9"/>
          <w:sz w:val="18"/>
        </w:rPr>
        <w:t> </w:t>
      </w:r>
      <w:r>
        <w:rPr>
          <w:i/>
          <w:color w:val="3B3A3A"/>
          <w:sz w:val="18"/>
        </w:rPr>
        <w:t>5</w:t>
      </w:r>
      <w:r>
        <w:rPr>
          <w:color w:val="3B3A3A"/>
          <w:sz w:val="18"/>
        </w:rPr>
        <w:t>7</w:t>
      </w:r>
      <w:r>
        <w:rPr>
          <w:color w:val="181A1A"/>
          <w:sz w:val="18"/>
        </w:rPr>
        <w:t>-</w:t>
      </w:r>
      <w:r>
        <w:rPr>
          <w:i/>
          <w:color w:val="3B3A3A"/>
          <w:spacing w:val="-7"/>
          <w:sz w:val="18"/>
        </w:rPr>
        <w:t>77</w:t>
      </w:r>
    </w:p>
    <w:p>
      <w:pPr>
        <w:pStyle w:val="BodyText"/>
        <w:spacing w:before="157"/>
        <w:rPr>
          <w:i/>
          <w:sz w:val="18"/>
        </w:rPr>
      </w:pPr>
    </w:p>
    <w:p>
      <w:pPr>
        <w:spacing w:line="244" w:lineRule="auto" w:before="1"/>
        <w:ind w:left="666" w:right="317" w:hanging="345"/>
        <w:jc w:val="both"/>
        <w:rPr>
          <w:sz w:val="17"/>
        </w:rPr>
      </w:pPr>
      <w:r>
        <w:rPr>
          <w:color w:val="181A1A"/>
          <w:sz w:val="17"/>
        </w:rPr>
        <w:t>Nasir</w:t>
      </w:r>
      <w:r>
        <w:rPr>
          <w:color w:val="3B3A3A"/>
          <w:sz w:val="17"/>
        </w:rPr>
        <w:t>, </w:t>
      </w:r>
      <w:r>
        <w:rPr>
          <w:color w:val="181A1A"/>
          <w:sz w:val="17"/>
        </w:rPr>
        <w:t>R.</w:t>
      </w:r>
      <w:r>
        <w:rPr>
          <w:color w:val="3B3A3A"/>
          <w:sz w:val="17"/>
        </w:rPr>
        <w:t>, </w:t>
      </w:r>
      <w:r>
        <w:rPr>
          <w:color w:val="181A1A"/>
          <w:sz w:val="17"/>
        </w:rPr>
        <w:t>Fakhr</w:t>
      </w:r>
      <w:r>
        <w:rPr>
          <w:color w:val="3B3A3A"/>
          <w:sz w:val="17"/>
        </w:rPr>
        <w:t>, </w:t>
      </w:r>
      <w:r>
        <w:rPr>
          <w:color w:val="181A1A"/>
          <w:sz w:val="17"/>
        </w:rPr>
        <w:t>M</w:t>
      </w:r>
      <w:r>
        <w:rPr>
          <w:color w:val="3B3A3A"/>
          <w:sz w:val="17"/>
        </w:rPr>
        <w:t>.</w:t>
      </w:r>
      <w:r>
        <w:rPr>
          <w:color w:val="181A1A"/>
          <w:sz w:val="17"/>
        </w:rPr>
        <w:t>, Khan, M. A., &amp; Shah</w:t>
      </w:r>
      <w:r>
        <w:rPr>
          <w:color w:val="3B3A3A"/>
          <w:sz w:val="17"/>
        </w:rPr>
        <w:t>, </w:t>
      </w:r>
      <w:r>
        <w:rPr>
          <w:color w:val="181A1A"/>
          <w:sz w:val="17"/>
        </w:rPr>
        <w:t>S</w:t>
      </w:r>
      <w:r>
        <w:rPr>
          <w:color w:val="3B3A3A"/>
          <w:sz w:val="17"/>
        </w:rPr>
        <w:t>. </w:t>
      </w:r>
      <w:r>
        <w:rPr>
          <w:color w:val="181A1A"/>
          <w:sz w:val="17"/>
        </w:rPr>
        <w:t>M</w:t>
      </w:r>
      <w:r>
        <w:rPr>
          <w:color w:val="3B3A3A"/>
          <w:sz w:val="17"/>
        </w:rPr>
        <w:t>. </w:t>
      </w:r>
      <w:r>
        <w:rPr>
          <w:color w:val="181A1A"/>
          <w:sz w:val="17"/>
        </w:rPr>
        <w:t>(2020)</w:t>
      </w:r>
      <w:r>
        <w:rPr>
          <w:color w:val="3B3A3A"/>
          <w:sz w:val="17"/>
        </w:rPr>
        <w:t>. </w:t>
      </w:r>
      <w:r>
        <w:rPr>
          <w:color w:val="181A1A"/>
          <w:sz w:val="17"/>
        </w:rPr>
        <w:t>Assessing</w:t>
      </w:r>
      <w:r>
        <w:rPr>
          <w:color w:val="181A1A"/>
          <w:spacing w:val="40"/>
          <w:sz w:val="17"/>
        </w:rPr>
        <w:t> </w:t>
      </w:r>
      <w:r>
        <w:rPr>
          <w:color w:val="181A1A"/>
          <w:sz w:val="17"/>
        </w:rPr>
        <w:t>the Impact of Training and Development Practices on Employees' Performance: The Mediating Role of Employee Motivation. Journal of Open Innovation: Technology</w:t>
      </w:r>
      <w:r>
        <w:rPr>
          <w:color w:val="3B3A3A"/>
          <w:sz w:val="17"/>
        </w:rPr>
        <w:t>, </w:t>
      </w:r>
      <w:r>
        <w:rPr>
          <w:color w:val="181A1A"/>
          <w:sz w:val="17"/>
        </w:rPr>
        <w:t>Market, and Complexity, 6(4), 168</w:t>
      </w:r>
      <w:r>
        <w:rPr>
          <w:color w:val="3B3A3A"/>
          <w:sz w:val="17"/>
        </w:rPr>
        <w:t>.</w:t>
      </w:r>
    </w:p>
    <w:p>
      <w:pPr>
        <w:spacing w:line="319" w:lineRule="auto" w:before="60"/>
        <w:ind w:left="322" w:right="2750" w:firstLine="0"/>
        <w:jc w:val="both"/>
        <w:rPr>
          <w:sz w:val="17"/>
        </w:rPr>
      </w:pPr>
      <w:r>
        <w:rPr>
          <w:color w:val="181A1A"/>
          <w:sz w:val="17"/>
        </w:rPr>
        <w:t>Noe</w:t>
      </w:r>
      <w:r>
        <w:rPr>
          <w:color w:val="3B3A3A"/>
          <w:sz w:val="17"/>
        </w:rPr>
        <w:t>,</w:t>
      </w:r>
      <w:r>
        <w:rPr>
          <w:color w:val="3B3A3A"/>
          <w:spacing w:val="-4"/>
          <w:sz w:val="17"/>
        </w:rPr>
        <w:t> </w:t>
      </w:r>
      <w:r>
        <w:rPr>
          <w:color w:val="181A1A"/>
          <w:sz w:val="17"/>
        </w:rPr>
        <w:t>R. A. (2013). Employee training and development (6th ed</w:t>
      </w:r>
      <w:r>
        <w:rPr>
          <w:color w:val="3B3A3A"/>
          <w:sz w:val="17"/>
        </w:rPr>
        <w:t>.</w:t>
      </w:r>
      <w:r>
        <w:rPr>
          <w:color w:val="181A1A"/>
          <w:sz w:val="17"/>
        </w:rPr>
        <w:t>).</w:t>
      </w:r>
      <w:r>
        <w:rPr>
          <w:color w:val="181A1A"/>
          <w:spacing w:val="-8"/>
          <w:sz w:val="17"/>
        </w:rPr>
        <w:t> </w:t>
      </w:r>
      <w:r>
        <w:rPr>
          <w:color w:val="181A1A"/>
          <w:sz w:val="17"/>
        </w:rPr>
        <w:t>McGraw-Hill. Nunnally</w:t>
      </w:r>
      <w:r>
        <w:rPr>
          <w:color w:val="3B3A3A"/>
          <w:sz w:val="17"/>
        </w:rPr>
        <w:t>, </w:t>
      </w:r>
      <w:r>
        <w:rPr>
          <w:color w:val="181A1A"/>
          <w:sz w:val="17"/>
        </w:rPr>
        <w:t>J</w:t>
      </w:r>
      <w:r>
        <w:rPr>
          <w:color w:val="3B3A3A"/>
          <w:sz w:val="17"/>
        </w:rPr>
        <w:t>.</w:t>
      </w:r>
      <w:r>
        <w:rPr>
          <w:color w:val="181A1A"/>
          <w:sz w:val="17"/>
        </w:rPr>
        <w:t>C. (1978). Psychometric</w:t>
      </w:r>
      <w:r>
        <w:rPr>
          <w:color w:val="181A1A"/>
          <w:spacing w:val="40"/>
          <w:sz w:val="17"/>
        </w:rPr>
        <w:t> </w:t>
      </w:r>
      <w:r>
        <w:rPr>
          <w:color w:val="181A1A"/>
          <w:sz w:val="17"/>
        </w:rPr>
        <w:t>theory (2nd ed.). McGraw-Hill.</w:t>
      </w:r>
    </w:p>
    <w:p>
      <w:pPr>
        <w:spacing w:before="0"/>
        <w:ind w:left="669" w:right="281" w:hanging="348"/>
        <w:jc w:val="left"/>
        <w:rPr>
          <w:sz w:val="17"/>
        </w:rPr>
      </w:pPr>
      <w:r>
        <w:rPr>
          <w:color w:val="181A1A"/>
          <w:sz w:val="17"/>
        </w:rPr>
        <w:t>Preacher, K.</w:t>
      </w:r>
      <w:r>
        <w:rPr>
          <w:color w:val="181A1A"/>
          <w:spacing w:val="-2"/>
          <w:sz w:val="17"/>
        </w:rPr>
        <w:t> </w:t>
      </w:r>
      <w:r>
        <w:rPr>
          <w:color w:val="181A1A"/>
          <w:sz w:val="17"/>
        </w:rPr>
        <w:t>J., &amp; Hayes, A</w:t>
      </w:r>
      <w:r>
        <w:rPr>
          <w:color w:val="3B3A3A"/>
          <w:sz w:val="17"/>
        </w:rPr>
        <w:t>.</w:t>
      </w:r>
      <w:r>
        <w:rPr>
          <w:color w:val="3B3A3A"/>
          <w:spacing w:val="-5"/>
          <w:sz w:val="17"/>
        </w:rPr>
        <w:t> </w:t>
      </w:r>
      <w:r>
        <w:rPr>
          <w:color w:val="181A1A"/>
          <w:sz w:val="17"/>
        </w:rPr>
        <w:t>F. (2008). Asymptotic</w:t>
      </w:r>
      <w:r>
        <w:rPr>
          <w:color w:val="181A1A"/>
          <w:spacing w:val="25"/>
          <w:sz w:val="17"/>
        </w:rPr>
        <w:t> </w:t>
      </w:r>
      <w:r>
        <w:rPr>
          <w:color w:val="181A1A"/>
          <w:sz w:val="17"/>
        </w:rPr>
        <w:t>and resampling</w:t>
      </w:r>
      <w:r>
        <w:rPr>
          <w:color w:val="181A1A"/>
          <w:spacing w:val="23"/>
          <w:sz w:val="17"/>
        </w:rPr>
        <w:t> </w:t>
      </w:r>
      <w:r>
        <w:rPr>
          <w:color w:val="181A1A"/>
          <w:sz w:val="17"/>
        </w:rPr>
        <w:t>strategies for assessing and comparing indirect effects in multiple mediator models</w:t>
      </w:r>
      <w:r>
        <w:rPr>
          <w:color w:val="3B3A3A"/>
          <w:sz w:val="17"/>
        </w:rPr>
        <w:t>. </w:t>
      </w:r>
      <w:r>
        <w:rPr>
          <w:color w:val="181A1A"/>
          <w:sz w:val="17"/>
        </w:rPr>
        <w:t>Behavior Research Methods, 40(3)</w:t>
      </w:r>
      <w:r>
        <w:rPr>
          <w:color w:val="3B3A3A"/>
          <w:sz w:val="17"/>
        </w:rPr>
        <w:t>, </w:t>
      </w:r>
      <w:r>
        <w:rPr>
          <w:color w:val="181A1A"/>
          <w:sz w:val="17"/>
        </w:rPr>
        <w:t>879-891</w:t>
      </w:r>
      <w:r>
        <w:rPr>
          <w:color w:val="3B3A3A"/>
          <w:sz w:val="17"/>
        </w:rPr>
        <w:t>.</w:t>
      </w:r>
    </w:p>
    <w:p>
      <w:pPr>
        <w:spacing w:before="65"/>
        <w:ind w:left="667" w:right="0" w:hanging="346"/>
        <w:jc w:val="left"/>
        <w:rPr>
          <w:sz w:val="17"/>
        </w:rPr>
      </w:pPr>
      <w:r>
        <w:rPr>
          <w:color w:val="181A1A"/>
          <w:sz w:val="17"/>
        </w:rPr>
        <w:t>Rahman</w:t>
      </w:r>
      <w:r>
        <w:rPr>
          <w:color w:val="3B3A3A"/>
          <w:sz w:val="17"/>
        </w:rPr>
        <w:t>,</w:t>
      </w:r>
      <w:r>
        <w:rPr>
          <w:color w:val="3B3A3A"/>
          <w:spacing w:val="30"/>
          <w:sz w:val="17"/>
        </w:rPr>
        <w:t> </w:t>
      </w:r>
      <w:r>
        <w:rPr>
          <w:color w:val="181A1A"/>
          <w:sz w:val="17"/>
        </w:rPr>
        <w:t>M</w:t>
      </w:r>
      <w:r>
        <w:rPr>
          <w:color w:val="525252"/>
          <w:sz w:val="17"/>
        </w:rPr>
        <w:t>.</w:t>
      </w:r>
      <w:r>
        <w:rPr>
          <w:color w:val="525252"/>
          <w:spacing w:val="26"/>
          <w:sz w:val="17"/>
        </w:rPr>
        <w:t> </w:t>
      </w:r>
      <w:r>
        <w:rPr>
          <w:color w:val="181A1A"/>
          <w:sz w:val="17"/>
        </w:rPr>
        <w:t>M</w:t>
      </w:r>
      <w:r>
        <w:rPr>
          <w:color w:val="525252"/>
          <w:sz w:val="17"/>
        </w:rPr>
        <w:t>.</w:t>
      </w:r>
      <w:r>
        <w:rPr>
          <w:color w:val="525252"/>
          <w:spacing w:val="20"/>
          <w:sz w:val="17"/>
        </w:rPr>
        <w:t> </w:t>
      </w:r>
      <w:r>
        <w:rPr>
          <w:color w:val="181A1A"/>
          <w:sz w:val="17"/>
        </w:rPr>
        <w:t>(2020).</w:t>
      </w:r>
      <w:r>
        <w:rPr>
          <w:color w:val="181A1A"/>
          <w:spacing w:val="39"/>
          <w:sz w:val="17"/>
        </w:rPr>
        <w:t> </w:t>
      </w:r>
      <w:r>
        <w:rPr>
          <w:color w:val="181A1A"/>
          <w:sz w:val="17"/>
        </w:rPr>
        <w:t>Readymade</w:t>
      </w:r>
      <w:r>
        <w:rPr>
          <w:color w:val="181A1A"/>
          <w:spacing w:val="40"/>
          <w:sz w:val="17"/>
        </w:rPr>
        <w:t> </w:t>
      </w:r>
      <w:r>
        <w:rPr>
          <w:color w:val="181A1A"/>
          <w:sz w:val="17"/>
        </w:rPr>
        <w:t>garment</w:t>
      </w:r>
      <w:r>
        <w:rPr>
          <w:color w:val="181A1A"/>
          <w:spacing w:val="38"/>
          <w:sz w:val="17"/>
        </w:rPr>
        <w:t> </w:t>
      </w:r>
      <w:r>
        <w:rPr>
          <w:color w:val="181A1A"/>
          <w:sz w:val="17"/>
        </w:rPr>
        <w:t>sector</w:t>
      </w:r>
      <w:r>
        <w:rPr>
          <w:color w:val="181A1A"/>
          <w:spacing w:val="39"/>
          <w:sz w:val="17"/>
        </w:rPr>
        <w:t> </w:t>
      </w:r>
      <w:r>
        <w:rPr>
          <w:color w:val="181A1A"/>
          <w:sz w:val="17"/>
        </w:rPr>
        <w:t>in</w:t>
      </w:r>
      <w:r>
        <w:rPr>
          <w:color w:val="181A1A"/>
          <w:spacing w:val="29"/>
          <w:sz w:val="17"/>
        </w:rPr>
        <w:t> </w:t>
      </w:r>
      <w:r>
        <w:rPr>
          <w:color w:val="181A1A"/>
          <w:sz w:val="17"/>
        </w:rPr>
        <w:t>Bangladesh:</w:t>
      </w:r>
      <w:r>
        <w:rPr>
          <w:color w:val="181A1A"/>
          <w:spacing w:val="40"/>
          <w:sz w:val="17"/>
        </w:rPr>
        <w:t> </w:t>
      </w:r>
      <w:r>
        <w:rPr>
          <w:color w:val="181A1A"/>
          <w:sz w:val="17"/>
        </w:rPr>
        <w:t>Socio-economic</w:t>
      </w:r>
      <w:r>
        <w:rPr>
          <w:color w:val="181A1A"/>
          <w:spacing w:val="40"/>
          <w:sz w:val="17"/>
        </w:rPr>
        <w:t> </w:t>
      </w:r>
      <w:r>
        <w:rPr>
          <w:color w:val="181A1A"/>
          <w:sz w:val="17"/>
        </w:rPr>
        <w:t>implications.</w:t>
      </w:r>
      <w:r>
        <w:rPr>
          <w:color w:val="181A1A"/>
          <w:spacing w:val="40"/>
          <w:sz w:val="17"/>
        </w:rPr>
        <w:t> </w:t>
      </w:r>
      <w:r>
        <w:rPr>
          <w:color w:val="181A1A"/>
          <w:sz w:val="17"/>
        </w:rPr>
        <w:t>South</w:t>
      </w:r>
      <w:r>
        <w:rPr>
          <w:color w:val="181A1A"/>
          <w:spacing w:val="40"/>
          <w:sz w:val="17"/>
        </w:rPr>
        <w:t> </w:t>
      </w:r>
      <w:r>
        <w:rPr>
          <w:color w:val="181A1A"/>
          <w:sz w:val="17"/>
        </w:rPr>
        <w:t>Asian Journal</w:t>
      </w:r>
      <w:r>
        <w:rPr>
          <w:color w:val="181A1A"/>
          <w:spacing w:val="40"/>
          <w:sz w:val="17"/>
        </w:rPr>
        <w:t> </w:t>
      </w:r>
      <w:r>
        <w:rPr>
          <w:color w:val="181A1A"/>
          <w:sz w:val="17"/>
        </w:rPr>
        <w:t>of Socio-Political Studies</w:t>
      </w:r>
      <w:r>
        <w:rPr>
          <w:color w:val="3B3A3A"/>
          <w:sz w:val="17"/>
        </w:rPr>
        <w:t>, </w:t>
      </w:r>
      <w:r>
        <w:rPr>
          <w:color w:val="181A1A"/>
          <w:sz w:val="17"/>
        </w:rPr>
        <w:t>20(1)</w:t>
      </w:r>
      <w:r>
        <w:rPr>
          <w:color w:val="3B3A3A"/>
          <w:sz w:val="17"/>
        </w:rPr>
        <w:t>, </w:t>
      </w:r>
      <w:r>
        <w:rPr>
          <w:color w:val="181A1A"/>
          <w:sz w:val="17"/>
        </w:rPr>
        <w:t>60-75.</w:t>
      </w:r>
    </w:p>
    <w:p>
      <w:pPr>
        <w:spacing w:line="247" w:lineRule="auto" w:before="65"/>
        <w:ind w:left="667" w:right="0" w:hanging="347"/>
        <w:jc w:val="left"/>
        <w:rPr>
          <w:sz w:val="17"/>
        </w:rPr>
      </w:pPr>
      <w:r>
        <w:rPr>
          <w:color w:val="181A1A"/>
          <w:w w:val="105"/>
          <w:sz w:val="17"/>
        </w:rPr>
        <w:t>Ra</w:t>
      </w:r>
      <w:r>
        <w:rPr>
          <w:color w:val="3B3A3A"/>
          <w:w w:val="105"/>
          <w:sz w:val="17"/>
        </w:rPr>
        <w:t>zz</w:t>
      </w:r>
      <w:r>
        <w:rPr>
          <w:color w:val="181A1A"/>
          <w:w w:val="105"/>
          <w:sz w:val="17"/>
        </w:rPr>
        <w:t>aque,</w:t>
      </w:r>
      <w:r>
        <w:rPr>
          <w:color w:val="181A1A"/>
          <w:spacing w:val="23"/>
          <w:w w:val="105"/>
          <w:sz w:val="17"/>
        </w:rPr>
        <w:t> </w:t>
      </w:r>
      <w:r>
        <w:rPr>
          <w:color w:val="181A1A"/>
          <w:w w:val="105"/>
          <w:sz w:val="17"/>
        </w:rPr>
        <w:t>A</w:t>
      </w:r>
      <w:r>
        <w:rPr>
          <w:color w:val="3B3A3A"/>
          <w:w w:val="105"/>
          <w:sz w:val="17"/>
        </w:rPr>
        <w:t>.,</w:t>
      </w:r>
      <w:r>
        <w:rPr>
          <w:color w:val="3B3A3A"/>
          <w:spacing w:val="19"/>
          <w:w w:val="105"/>
          <w:sz w:val="17"/>
        </w:rPr>
        <w:t> </w:t>
      </w:r>
      <w:r>
        <w:rPr>
          <w:color w:val="181A1A"/>
          <w:w w:val="105"/>
          <w:sz w:val="17"/>
        </w:rPr>
        <w:t>&amp;</w:t>
      </w:r>
      <w:r>
        <w:rPr>
          <w:color w:val="181A1A"/>
          <w:spacing w:val="25"/>
          <w:w w:val="105"/>
          <w:sz w:val="17"/>
        </w:rPr>
        <w:t> </w:t>
      </w:r>
      <w:r>
        <w:rPr>
          <w:color w:val="181A1A"/>
          <w:w w:val="105"/>
          <w:sz w:val="17"/>
        </w:rPr>
        <w:t>Eusuf,</w:t>
      </w:r>
      <w:r>
        <w:rPr>
          <w:color w:val="181A1A"/>
          <w:spacing w:val="26"/>
          <w:w w:val="105"/>
          <w:sz w:val="17"/>
        </w:rPr>
        <w:t> </w:t>
      </w:r>
      <w:r>
        <w:rPr>
          <w:color w:val="181A1A"/>
          <w:w w:val="105"/>
          <w:sz w:val="17"/>
        </w:rPr>
        <w:t>M.</w:t>
      </w:r>
      <w:r>
        <w:rPr>
          <w:color w:val="181A1A"/>
          <w:spacing w:val="26"/>
          <w:w w:val="105"/>
          <w:sz w:val="17"/>
        </w:rPr>
        <w:t> </w:t>
      </w:r>
      <w:r>
        <w:rPr>
          <w:color w:val="181A1A"/>
          <w:w w:val="105"/>
          <w:sz w:val="17"/>
        </w:rPr>
        <w:t>A</w:t>
      </w:r>
      <w:r>
        <w:rPr>
          <w:color w:val="3B3A3A"/>
          <w:w w:val="105"/>
          <w:sz w:val="17"/>
        </w:rPr>
        <w:t>.</w:t>
      </w:r>
      <w:r>
        <w:rPr>
          <w:color w:val="3B3A3A"/>
          <w:spacing w:val="14"/>
          <w:w w:val="105"/>
          <w:sz w:val="17"/>
        </w:rPr>
        <w:t> </w:t>
      </w:r>
      <w:r>
        <w:rPr>
          <w:color w:val="181A1A"/>
          <w:w w:val="105"/>
          <w:sz w:val="17"/>
        </w:rPr>
        <w:t>(2007).</w:t>
      </w:r>
      <w:r>
        <w:rPr>
          <w:color w:val="181A1A"/>
          <w:spacing w:val="28"/>
          <w:w w:val="105"/>
          <w:sz w:val="17"/>
        </w:rPr>
        <w:t> </w:t>
      </w:r>
      <w:r>
        <w:rPr>
          <w:color w:val="181A1A"/>
          <w:w w:val="105"/>
          <w:sz w:val="17"/>
        </w:rPr>
        <w:t>Job</w:t>
      </w:r>
      <w:r>
        <w:rPr>
          <w:color w:val="181A1A"/>
          <w:spacing w:val="26"/>
          <w:w w:val="105"/>
          <w:sz w:val="17"/>
        </w:rPr>
        <w:t> </w:t>
      </w:r>
      <w:r>
        <w:rPr>
          <w:color w:val="181A1A"/>
          <w:w w:val="105"/>
          <w:sz w:val="17"/>
        </w:rPr>
        <w:t>satisfaction</w:t>
      </w:r>
      <w:r>
        <w:rPr>
          <w:color w:val="181A1A"/>
          <w:spacing w:val="40"/>
          <w:w w:val="105"/>
          <w:sz w:val="17"/>
        </w:rPr>
        <w:t> </w:t>
      </w:r>
      <w:r>
        <w:rPr>
          <w:color w:val="181A1A"/>
          <w:w w:val="105"/>
          <w:sz w:val="17"/>
        </w:rPr>
        <w:t>in</w:t>
      </w:r>
      <w:r>
        <w:rPr>
          <w:color w:val="181A1A"/>
          <w:spacing w:val="31"/>
          <w:w w:val="105"/>
          <w:sz w:val="17"/>
        </w:rPr>
        <w:t> </w:t>
      </w:r>
      <w:r>
        <w:rPr>
          <w:color w:val="181A1A"/>
          <w:w w:val="105"/>
          <w:sz w:val="17"/>
        </w:rPr>
        <w:t>the</w:t>
      </w:r>
      <w:r>
        <w:rPr>
          <w:color w:val="181A1A"/>
          <w:spacing w:val="25"/>
          <w:w w:val="105"/>
          <w:sz w:val="17"/>
        </w:rPr>
        <w:t> </w:t>
      </w:r>
      <w:r>
        <w:rPr>
          <w:color w:val="181A1A"/>
          <w:w w:val="105"/>
          <w:sz w:val="17"/>
        </w:rPr>
        <w:t>ready-made</w:t>
      </w:r>
      <w:r>
        <w:rPr>
          <w:color w:val="181A1A"/>
          <w:spacing w:val="29"/>
          <w:w w:val="105"/>
          <w:sz w:val="17"/>
        </w:rPr>
        <w:t> </w:t>
      </w:r>
      <w:r>
        <w:rPr>
          <w:color w:val="181A1A"/>
          <w:w w:val="105"/>
          <w:sz w:val="17"/>
        </w:rPr>
        <w:t>garment</w:t>
      </w:r>
      <w:r>
        <w:rPr>
          <w:color w:val="181A1A"/>
          <w:spacing w:val="32"/>
          <w:w w:val="105"/>
          <w:sz w:val="17"/>
        </w:rPr>
        <w:t> </w:t>
      </w:r>
      <w:r>
        <w:rPr>
          <w:color w:val="181A1A"/>
          <w:w w:val="105"/>
          <w:sz w:val="17"/>
        </w:rPr>
        <w:t>sector:</w:t>
      </w:r>
      <w:r>
        <w:rPr>
          <w:color w:val="181A1A"/>
          <w:spacing w:val="32"/>
          <w:w w:val="105"/>
          <w:sz w:val="17"/>
        </w:rPr>
        <w:t> </w:t>
      </w:r>
      <w:r>
        <w:rPr>
          <w:color w:val="181A1A"/>
          <w:w w:val="105"/>
          <w:sz w:val="17"/>
        </w:rPr>
        <w:t>A</w:t>
      </w:r>
      <w:r>
        <w:rPr>
          <w:color w:val="181A1A"/>
          <w:spacing w:val="27"/>
          <w:w w:val="105"/>
          <w:sz w:val="17"/>
        </w:rPr>
        <w:t> </w:t>
      </w:r>
      <w:r>
        <w:rPr>
          <w:color w:val="181A1A"/>
          <w:w w:val="105"/>
          <w:sz w:val="17"/>
        </w:rPr>
        <w:t>case</w:t>
      </w:r>
      <w:r>
        <w:rPr>
          <w:color w:val="181A1A"/>
          <w:spacing w:val="23"/>
          <w:w w:val="105"/>
          <w:sz w:val="17"/>
        </w:rPr>
        <w:t> </w:t>
      </w:r>
      <w:r>
        <w:rPr>
          <w:color w:val="181A1A"/>
          <w:w w:val="105"/>
          <w:sz w:val="17"/>
        </w:rPr>
        <w:t>study</w:t>
      </w:r>
      <w:r>
        <w:rPr>
          <w:color w:val="181A1A"/>
          <w:spacing w:val="27"/>
          <w:w w:val="105"/>
          <w:sz w:val="17"/>
        </w:rPr>
        <w:t> </w:t>
      </w:r>
      <w:r>
        <w:rPr>
          <w:color w:val="181A1A"/>
          <w:w w:val="105"/>
          <w:sz w:val="17"/>
        </w:rPr>
        <w:t>of Dinajpur</w:t>
      </w:r>
      <w:r>
        <w:rPr>
          <w:color w:val="3B3A3A"/>
          <w:w w:val="105"/>
          <w:sz w:val="17"/>
        </w:rPr>
        <w:t>,</w:t>
      </w:r>
      <w:r>
        <w:rPr>
          <w:color w:val="3B3A3A"/>
          <w:spacing w:val="-13"/>
          <w:w w:val="105"/>
          <w:sz w:val="17"/>
        </w:rPr>
        <w:t> </w:t>
      </w:r>
      <w:r>
        <w:rPr>
          <w:color w:val="181A1A"/>
          <w:w w:val="105"/>
          <w:sz w:val="17"/>
        </w:rPr>
        <w:t>Bangladesh</w:t>
      </w:r>
      <w:r>
        <w:rPr>
          <w:color w:val="3B3A3A"/>
          <w:w w:val="105"/>
          <w:sz w:val="17"/>
        </w:rPr>
        <w:t>.</w:t>
      </w:r>
      <w:r>
        <w:rPr>
          <w:color w:val="3B3A3A"/>
          <w:spacing w:val="-13"/>
          <w:w w:val="105"/>
          <w:sz w:val="17"/>
        </w:rPr>
        <w:t> </w:t>
      </w:r>
      <w:r>
        <w:rPr>
          <w:color w:val="181A1A"/>
          <w:w w:val="105"/>
          <w:sz w:val="17"/>
        </w:rPr>
        <w:t>Journal</w:t>
      </w:r>
      <w:r>
        <w:rPr>
          <w:color w:val="181A1A"/>
          <w:spacing w:val="-1"/>
          <w:w w:val="105"/>
          <w:sz w:val="17"/>
        </w:rPr>
        <w:t> </w:t>
      </w:r>
      <w:r>
        <w:rPr>
          <w:color w:val="181A1A"/>
          <w:w w:val="105"/>
          <w:sz w:val="17"/>
        </w:rPr>
        <w:t>of</w:t>
      </w:r>
      <w:r>
        <w:rPr>
          <w:color w:val="181A1A"/>
          <w:spacing w:val="-6"/>
          <w:w w:val="105"/>
          <w:sz w:val="17"/>
        </w:rPr>
        <w:t> </w:t>
      </w:r>
      <w:r>
        <w:rPr>
          <w:color w:val="181A1A"/>
          <w:w w:val="105"/>
          <w:sz w:val="17"/>
        </w:rPr>
        <w:t>Business Administration</w:t>
      </w:r>
      <w:r>
        <w:rPr>
          <w:color w:val="3B3A3A"/>
          <w:w w:val="105"/>
          <w:sz w:val="17"/>
        </w:rPr>
        <w:t>,</w:t>
      </w:r>
      <w:r>
        <w:rPr>
          <w:color w:val="3B3A3A"/>
          <w:spacing w:val="-10"/>
          <w:w w:val="105"/>
          <w:sz w:val="17"/>
        </w:rPr>
        <w:t> </w:t>
      </w:r>
      <w:r>
        <w:rPr>
          <w:color w:val="181A1A"/>
          <w:w w:val="105"/>
          <w:sz w:val="17"/>
        </w:rPr>
        <w:t>Dhaka University</w:t>
      </w:r>
      <w:r>
        <w:rPr>
          <w:color w:val="3B3A3A"/>
          <w:w w:val="105"/>
          <w:sz w:val="17"/>
        </w:rPr>
        <w:t>,</w:t>
      </w:r>
      <w:r>
        <w:rPr>
          <w:color w:val="3B3A3A"/>
          <w:spacing w:val="-9"/>
          <w:w w:val="105"/>
          <w:sz w:val="17"/>
        </w:rPr>
        <w:t> </w:t>
      </w:r>
      <w:r>
        <w:rPr>
          <w:color w:val="181A1A"/>
          <w:w w:val="105"/>
          <w:sz w:val="17"/>
        </w:rPr>
        <w:t>33(1</w:t>
      </w:r>
      <w:r>
        <w:rPr>
          <w:color w:val="181A1A"/>
          <w:spacing w:val="-2"/>
          <w:w w:val="105"/>
          <w:sz w:val="17"/>
        </w:rPr>
        <w:t> </w:t>
      </w:r>
      <w:r>
        <w:rPr>
          <w:color w:val="181A1A"/>
          <w:w w:val="105"/>
          <w:sz w:val="17"/>
        </w:rPr>
        <w:t>&amp;</w:t>
      </w:r>
      <w:r>
        <w:rPr>
          <w:color w:val="181A1A"/>
          <w:spacing w:val="-6"/>
          <w:w w:val="105"/>
          <w:sz w:val="17"/>
        </w:rPr>
        <w:t> </w:t>
      </w:r>
      <w:r>
        <w:rPr>
          <w:color w:val="181A1A"/>
          <w:w w:val="105"/>
          <w:sz w:val="17"/>
        </w:rPr>
        <w:t>2)</w:t>
      </w:r>
      <w:r>
        <w:rPr>
          <w:color w:val="3B3A3A"/>
          <w:w w:val="105"/>
          <w:sz w:val="17"/>
        </w:rPr>
        <w:t>,</w:t>
      </w:r>
      <w:r>
        <w:rPr>
          <w:color w:val="3B3A3A"/>
          <w:spacing w:val="-8"/>
          <w:w w:val="105"/>
          <w:sz w:val="17"/>
        </w:rPr>
        <w:t> </w:t>
      </w:r>
      <w:r>
        <w:rPr>
          <w:color w:val="181A1A"/>
          <w:w w:val="105"/>
          <w:sz w:val="17"/>
        </w:rPr>
        <w:t>13-3</w:t>
      </w:r>
      <w:r>
        <w:rPr>
          <w:color w:val="181A1A"/>
          <w:spacing w:val="-25"/>
          <w:w w:val="105"/>
          <w:sz w:val="17"/>
        </w:rPr>
        <w:t> </w:t>
      </w:r>
      <w:r>
        <w:rPr>
          <w:color w:val="181A1A"/>
          <w:w w:val="105"/>
          <w:sz w:val="17"/>
        </w:rPr>
        <w:t>I.</w:t>
      </w:r>
    </w:p>
    <w:p>
      <w:pPr>
        <w:spacing w:before="59"/>
        <w:ind w:left="669" w:right="281" w:hanging="351"/>
        <w:jc w:val="left"/>
        <w:rPr>
          <w:sz w:val="17"/>
        </w:rPr>
      </w:pPr>
      <w:r>
        <w:rPr>
          <w:color w:val="181A1A"/>
          <w:sz w:val="17"/>
        </w:rPr>
        <w:t>Shams,</w:t>
      </w:r>
      <w:r>
        <w:rPr>
          <w:color w:val="181A1A"/>
          <w:spacing w:val="13"/>
          <w:sz w:val="17"/>
        </w:rPr>
        <w:t> </w:t>
      </w:r>
      <w:r>
        <w:rPr>
          <w:color w:val="181A1A"/>
          <w:sz w:val="17"/>
        </w:rPr>
        <w:t>S. (2011). Ready-made</w:t>
      </w:r>
      <w:r>
        <w:rPr>
          <w:color w:val="181A1A"/>
          <w:spacing w:val="30"/>
          <w:sz w:val="17"/>
        </w:rPr>
        <w:t> </w:t>
      </w:r>
      <w:r>
        <w:rPr>
          <w:color w:val="181A1A"/>
          <w:sz w:val="17"/>
        </w:rPr>
        <w:t>garments</w:t>
      </w:r>
      <w:r>
        <w:rPr>
          <w:color w:val="181A1A"/>
          <w:spacing w:val="19"/>
          <w:sz w:val="17"/>
        </w:rPr>
        <w:t> </w:t>
      </w:r>
      <w:r>
        <w:rPr>
          <w:color w:val="181A1A"/>
          <w:sz w:val="17"/>
        </w:rPr>
        <w:t>industry</w:t>
      </w:r>
      <w:r>
        <w:rPr>
          <w:color w:val="181A1A"/>
          <w:spacing w:val="19"/>
          <w:sz w:val="17"/>
        </w:rPr>
        <w:t> </w:t>
      </w:r>
      <w:r>
        <w:rPr>
          <w:color w:val="181A1A"/>
          <w:sz w:val="17"/>
        </w:rPr>
        <w:t>of Bangladesh:</w:t>
      </w:r>
      <w:r>
        <w:rPr>
          <w:color w:val="181A1A"/>
          <w:spacing w:val="27"/>
          <w:sz w:val="17"/>
        </w:rPr>
        <w:t> </w:t>
      </w:r>
      <w:r>
        <w:rPr>
          <w:color w:val="181A1A"/>
          <w:sz w:val="17"/>
        </w:rPr>
        <w:t>The future of</w:t>
      </w:r>
      <w:r>
        <w:rPr>
          <w:color w:val="181A1A"/>
          <w:spacing w:val="14"/>
          <w:sz w:val="17"/>
        </w:rPr>
        <w:t> </w:t>
      </w:r>
      <w:r>
        <w:rPr>
          <w:color w:val="181A1A"/>
          <w:sz w:val="17"/>
        </w:rPr>
        <w:t>the</w:t>
      </w:r>
      <w:r>
        <w:rPr>
          <w:color w:val="181A1A"/>
          <w:spacing w:val="12"/>
          <w:sz w:val="17"/>
        </w:rPr>
        <w:t> </w:t>
      </w:r>
      <w:r>
        <w:rPr>
          <w:color w:val="181A1A"/>
          <w:sz w:val="17"/>
        </w:rPr>
        <w:t>ready-made</w:t>
      </w:r>
      <w:r>
        <w:rPr>
          <w:color w:val="181A1A"/>
          <w:spacing w:val="19"/>
          <w:sz w:val="17"/>
        </w:rPr>
        <w:t> </w:t>
      </w:r>
      <w:r>
        <w:rPr>
          <w:color w:val="181A1A"/>
          <w:sz w:val="17"/>
        </w:rPr>
        <w:t>garments</w:t>
      </w:r>
      <w:r>
        <w:rPr>
          <w:color w:val="181A1A"/>
          <w:spacing w:val="19"/>
          <w:sz w:val="17"/>
        </w:rPr>
        <w:t> </w:t>
      </w:r>
      <w:r>
        <w:rPr>
          <w:color w:val="181A1A"/>
          <w:sz w:val="17"/>
        </w:rPr>
        <w:t>industry of Bangladesh after the phase out of multi-fibre arrangement. Lambert Academic Publishing</w:t>
      </w:r>
      <w:r>
        <w:rPr>
          <w:color w:val="3B3A3A"/>
          <w:sz w:val="17"/>
        </w:rPr>
        <w:t>.</w:t>
      </w:r>
    </w:p>
    <w:p>
      <w:pPr>
        <w:spacing w:before="66"/>
        <w:ind w:left="318" w:right="0" w:firstLine="0"/>
        <w:jc w:val="left"/>
        <w:rPr>
          <w:sz w:val="17"/>
        </w:rPr>
      </w:pPr>
      <w:r>
        <w:rPr>
          <w:color w:val="181A1A"/>
          <w:w w:val="105"/>
          <w:sz w:val="17"/>
        </w:rPr>
        <w:t>Singh</w:t>
      </w:r>
      <w:r>
        <w:rPr>
          <w:color w:val="525252"/>
          <w:w w:val="105"/>
          <w:sz w:val="17"/>
        </w:rPr>
        <w:t>,</w:t>
      </w:r>
      <w:r>
        <w:rPr>
          <w:color w:val="525252"/>
          <w:spacing w:val="4"/>
          <w:w w:val="105"/>
          <w:sz w:val="17"/>
        </w:rPr>
        <w:t> </w:t>
      </w:r>
      <w:r>
        <w:rPr>
          <w:color w:val="181A1A"/>
          <w:w w:val="105"/>
          <w:sz w:val="17"/>
        </w:rPr>
        <w:t>T.</w:t>
      </w:r>
      <w:r>
        <w:rPr>
          <w:color w:val="3B3A3A"/>
          <w:w w:val="105"/>
          <w:sz w:val="17"/>
        </w:rPr>
        <w:t>,</w:t>
      </w:r>
      <w:r>
        <w:rPr>
          <w:color w:val="3B3A3A"/>
          <w:spacing w:val="3"/>
          <w:w w:val="105"/>
          <w:sz w:val="17"/>
        </w:rPr>
        <w:t> </w:t>
      </w:r>
      <w:r>
        <w:rPr>
          <w:color w:val="181A1A"/>
          <w:w w:val="105"/>
          <w:sz w:val="17"/>
        </w:rPr>
        <w:t>&amp;</w:t>
      </w:r>
      <w:r>
        <w:rPr>
          <w:color w:val="181A1A"/>
          <w:spacing w:val="11"/>
          <w:w w:val="105"/>
          <w:sz w:val="17"/>
        </w:rPr>
        <w:t> </w:t>
      </w:r>
      <w:r>
        <w:rPr>
          <w:color w:val="181A1A"/>
          <w:w w:val="105"/>
          <w:sz w:val="17"/>
        </w:rPr>
        <w:t>Singh</w:t>
      </w:r>
      <w:r>
        <w:rPr>
          <w:color w:val="3B3A3A"/>
          <w:w w:val="105"/>
          <w:sz w:val="17"/>
        </w:rPr>
        <w:t>,</w:t>
      </w:r>
      <w:r>
        <w:rPr>
          <w:color w:val="3B3A3A"/>
          <w:spacing w:val="8"/>
          <w:w w:val="105"/>
          <w:sz w:val="17"/>
        </w:rPr>
        <w:t> </w:t>
      </w:r>
      <w:r>
        <w:rPr>
          <w:color w:val="181A1A"/>
          <w:w w:val="105"/>
          <w:sz w:val="17"/>
        </w:rPr>
        <w:t>A.</w:t>
      </w:r>
      <w:r>
        <w:rPr>
          <w:color w:val="181A1A"/>
          <w:spacing w:val="6"/>
          <w:w w:val="105"/>
          <w:sz w:val="17"/>
        </w:rPr>
        <w:t> </w:t>
      </w:r>
      <w:r>
        <w:rPr>
          <w:color w:val="181A1A"/>
          <w:w w:val="105"/>
          <w:sz w:val="17"/>
        </w:rPr>
        <w:t>(2017).</w:t>
      </w:r>
      <w:r>
        <w:rPr>
          <w:color w:val="181A1A"/>
          <w:spacing w:val="15"/>
          <w:w w:val="105"/>
          <w:sz w:val="17"/>
        </w:rPr>
        <w:t> </w:t>
      </w:r>
      <w:r>
        <w:rPr>
          <w:color w:val="181A1A"/>
          <w:w w:val="105"/>
          <w:sz w:val="17"/>
        </w:rPr>
        <w:t>Impact</w:t>
      </w:r>
      <w:r>
        <w:rPr>
          <w:color w:val="181A1A"/>
          <w:spacing w:val="13"/>
          <w:w w:val="105"/>
          <w:sz w:val="17"/>
        </w:rPr>
        <w:t> </w:t>
      </w:r>
      <w:r>
        <w:rPr>
          <w:color w:val="181A1A"/>
          <w:w w:val="105"/>
          <w:sz w:val="17"/>
        </w:rPr>
        <w:t>of</w:t>
      </w:r>
      <w:r>
        <w:rPr>
          <w:color w:val="181A1A"/>
          <w:spacing w:val="10"/>
          <w:w w:val="105"/>
          <w:sz w:val="17"/>
        </w:rPr>
        <w:t> </w:t>
      </w:r>
      <w:r>
        <w:rPr>
          <w:color w:val="181A1A"/>
          <w:w w:val="105"/>
          <w:sz w:val="17"/>
        </w:rPr>
        <w:t>training</w:t>
      </w:r>
      <w:r>
        <w:rPr>
          <w:color w:val="181A1A"/>
          <w:spacing w:val="14"/>
          <w:w w:val="105"/>
          <w:sz w:val="17"/>
        </w:rPr>
        <w:t> </w:t>
      </w:r>
      <w:r>
        <w:rPr>
          <w:color w:val="181A1A"/>
          <w:w w:val="105"/>
          <w:sz w:val="17"/>
        </w:rPr>
        <w:t>on</w:t>
      </w:r>
      <w:r>
        <w:rPr>
          <w:color w:val="181A1A"/>
          <w:spacing w:val="12"/>
          <w:w w:val="105"/>
          <w:sz w:val="17"/>
        </w:rPr>
        <w:t> </w:t>
      </w:r>
      <w:r>
        <w:rPr>
          <w:color w:val="181A1A"/>
          <w:w w:val="105"/>
          <w:sz w:val="17"/>
        </w:rPr>
        <w:t>employee</w:t>
      </w:r>
      <w:r>
        <w:rPr>
          <w:color w:val="181A1A"/>
          <w:spacing w:val="15"/>
          <w:w w:val="105"/>
          <w:sz w:val="17"/>
        </w:rPr>
        <w:t> </w:t>
      </w:r>
      <w:r>
        <w:rPr>
          <w:color w:val="181A1A"/>
          <w:w w:val="105"/>
          <w:sz w:val="17"/>
        </w:rPr>
        <w:t>performance</w:t>
      </w:r>
      <w:r>
        <w:rPr>
          <w:color w:val="3B3A3A"/>
          <w:w w:val="105"/>
          <w:sz w:val="17"/>
        </w:rPr>
        <w:t>:</w:t>
      </w:r>
      <w:r>
        <w:rPr>
          <w:color w:val="3B3A3A"/>
          <w:spacing w:val="4"/>
          <w:w w:val="105"/>
          <w:sz w:val="17"/>
        </w:rPr>
        <w:t> </w:t>
      </w:r>
      <w:r>
        <w:rPr>
          <w:color w:val="181A1A"/>
          <w:w w:val="105"/>
          <w:sz w:val="17"/>
        </w:rPr>
        <w:t>A</w:t>
      </w:r>
      <w:r>
        <w:rPr>
          <w:color w:val="181A1A"/>
          <w:spacing w:val="4"/>
          <w:w w:val="105"/>
          <w:sz w:val="17"/>
        </w:rPr>
        <w:t> </w:t>
      </w:r>
      <w:r>
        <w:rPr>
          <w:color w:val="181A1A"/>
          <w:w w:val="105"/>
          <w:sz w:val="17"/>
        </w:rPr>
        <w:t>study</w:t>
      </w:r>
      <w:r>
        <w:rPr>
          <w:color w:val="181A1A"/>
          <w:spacing w:val="12"/>
          <w:w w:val="105"/>
          <w:sz w:val="17"/>
        </w:rPr>
        <w:t> </w:t>
      </w:r>
      <w:r>
        <w:rPr>
          <w:color w:val="181A1A"/>
          <w:w w:val="105"/>
          <w:sz w:val="17"/>
        </w:rPr>
        <w:t>of</w:t>
      </w:r>
      <w:r>
        <w:rPr>
          <w:color w:val="181A1A"/>
          <w:spacing w:val="11"/>
          <w:w w:val="105"/>
          <w:sz w:val="17"/>
        </w:rPr>
        <w:t> </w:t>
      </w:r>
      <w:r>
        <w:rPr>
          <w:color w:val="181A1A"/>
          <w:w w:val="105"/>
          <w:sz w:val="17"/>
        </w:rPr>
        <w:t>retail</w:t>
      </w:r>
      <w:r>
        <w:rPr>
          <w:color w:val="181A1A"/>
          <w:spacing w:val="14"/>
          <w:w w:val="105"/>
          <w:sz w:val="17"/>
        </w:rPr>
        <w:t> </w:t>
      </w:r>
      <w:r>
        <w:rPr>
          <w:color w:val="181A1A"/>
          <w:w w:val="105"/>
          <w:sz w:val="17"/>
        </w:rPr>
        <w:t>sector</w:t>
      </w:r>
      <w:r>
        <w:rPr>
          <w:color w:val="181A1A"/>
          <w:spacing w:val="17"/>
          <w:w w:val="105"/>
          <w:sz w:val="17"/>
        </w:rPr>
        <w:t> </w:t>
      </w:r>
      <w:r>
        <w:rPr>
          <w:color w:val="181A1A"/>
          <w:w w:val="105"/>
          <w:sz w:val="17"/>
        </w:rPr>
        <w:t>in</w:t>
      </w:r>
      <w:r>
        <w:rPr>
          <w:color w:val="181A1A"/>
          <w:spacing w:val="12"/>
          <w:w w:val="105"/>
          <w:sz w:val="17"/>
        </w:rPr>
        <w:t> </w:t>
      </w:r>
      <w:r>
        <w:rPr>
          <w:color w:val="181A1A"/>
          <w:spacing w:val="-2"/>
          <w:w w:val="105"/>
          <w:sz w:val="17"/>
        </w:rPr>
        <w:t>India</w:t>
      </w:r>
      <w:r>
        <w:rPr>
          <w:color w:val="3B3A3A"/>
          <w:spacing w:val="-2"/>
          <w:w w:val="105"/>
          <w:sz w:val="17"/>
        </w:rPr>
        <w:t>.</w:t>
      </w:r>
    </w:p>
    <w:p>
      <w:pPr>
        <w:spacing w:before="1"/>
        <w:ind w:left="667" w:right="0" w:firstLine="0"/>
        <w:jc w:val="left"/>
        <w:rPr>
          <w:sz w:val="17"/>
        </w:rPr>
      </w:pPr>
      <w:r>
        <w:rPr>
          <w:color w:val="181A1A"/>
          <w:sz w:val="17"/>
        </w:rPr>
        <w:t>Journal</w:t>
      </w:r>
      <w:r>
        <w:rPr>
          <w:color w:val="181A1A"/>
          <w:spacing w:val="16"/>
          <w:sz w:val="17"/>
        </w:rPr>
        <w:t> </w:t>
      </w:r>
      <w:r>
        <w:rPr>
          <w:color w:val="181A1A"/>
          <w:sz w:val="17"/>
        </w:rPr>
        <w:t>of</w:t>
      </w:r>
      <w:r>
        <w:rPr>
          <w:color w:val="181A1A"/>
          <w:spacing w:val="-2"/>
          <w:sz w:val="17"/>
        </w:rPr>
        <w:t> </w:t>
      </w:r>
      <w:r>
        <w:rPr>
          <w:color w:val="181A1A"/>
          <w:sz w:val="17"/>
        </w:rPr>
        <w:t>Management</w:t>
      </w:r>
      <w:r>
        <w:rPr>
          <w:color w:val="181A1A"/>
          <w:spacing w:val="21"/>
          <w:sz w:val="17"/>
        </w:rPr>
        <w:t> </w:t>
      </w:r>
      <w:r>
        <w:rPr>
          <w:color w:val="181A1A"/>
          <w:sz w:val="17"/>
        </w:rPr>
        <w:t>Development,</w:t>
      </w:r>
      <w:r>
        <w:rPr>
          <w:color w:val="181A1A"/>
          <w:spacing w:val="17"/>
          <w:sz w:val="17"/>
        </w:rPr>
        <w:t> </w:t>
      </w:r>
      <w:r>
        <w:rPr>
          <w:color w:val="181A1A"/>
          <w:sz w:val="17"/>
        </w:rPr>
        <w:t>36(6),</w:t>
      </w:r>
      <w:r>
        <w:rPr>
          <w:color w:val="181A1A"/>
          <w:spacing w:val="5"/>
          <w:sz w:val="17"/>
        </w:rPr>
        <w:t> </w:t>
      </w:r>
      <w:r>
        <w:rPr>
          <w:color w:val="181A1A"/>
          <w:sz w:val="17"/>
        </w:rPr>
        <w:t>824-</w:t>
      </w:r>
      <w:r>
        <w:rPr>
          <w:color w:val="181A1A"/>
          <w:spacing w:val="-4"/>
          <w:sz w:val="17"/>
        </w:rPr>
        <w:t>834.</w:t>
      </w:r>
    </w:p>
    <w:p>
      <w:pPr>
        <w:spacing w:line="319" w:lineRule="auto" w:before="64"/>
        <w:ind w:left="322" w:right="4263" w:hanging="4"/>
        <w:jc w:val="left"/>
        <w:rPr>
          <w:sz w:val="17"/>
        </w:rPr>
      </w:pPr>
      <w:r>
        <w:rPr>
          <w:color w:val="181A1A"/>
          <w:sz w:val="17"/>
        </w:rPr>
        <w:t>Thompson</w:t>
      </w:r>
      <w:r>
        <w:rPr>
          <w:color w:val="3B3A3A"/>
          <w:sz w:val="17"/>
        </w:rPr>
        <w:t>, </w:t>
      </w:r>
      <w:r>
        <w:rPr>
          <w:color w:val="181A1A"/>
          <w:sz w:val="17"/>
        </w:rPr>
        <w:t>S. </w:t>
      </w:r>
      <w:r>
        <w:rPr>
          <w:b/>
          <w:color w:val="181A1A"/>
          <w:sz w:val="17"/>
        </w:rPr>
        <w:t>K</w:t>
      </w:r>
      <w:r>
        <w:rPr>
          <w:b/>
          <w:color w:val="3B3A3A"/>
          <w:sz w:val="17"/>
        </w:rPr>
        <w:t>.</w:t>
      </w:r>
      <w:r>
        <w:rPr>
          <w:b/>
          <w:color w:val="3B3A3A"/>
          <w:spacing w:val="-6"/>
          <w:sz w:val="17"/>
        </w:rPr>
        <w:t> </w:t>
      </w:r>
      <w:r>
        <w:rPr>
          <w:color w:val="181A1A"/>
          <w:sz w:val="17"/>
        </w:rPr>
        <w:t>(2022). Sampling (4th ed.). Wiley. Vroom</w:t>
      </w:r>
      <w:r>
        <w:rPr>
          <w:color w:val="3B3A3A"/>
          <w:sz w:val="17"/>
        </w:rPr>
        <w:t>,</w:t>
      </w:r>
      <w:r>
        <w:rPr>
          <w:color w:val="3B3A3A"/>
          <w:spacing w:val="1"/>
          <w:sz w:val="17"/>
        </w:rPr>
        <w:t> </w:t>
      </w:r>
      <w:r>
        <w:rPr>
          <w:color w:val="181A1A"/>
          <w:sz w:val="17"/>
        </w:rPr>
        <w:t>V</w:t>
      </w:r>
      <w:r>
        <w:rPr>
          <w:color w:val="3B3A3A"/>
          <w:sz w:val="17"/>
        </w:rPr>
        <w:t>. </w:t>
      </w:r>
      <w:r>
        <w:rPr>
          <w:color w:val="181A1A"/>
          <w:sz w:val="17"/>
        </w:rPr>
        <w:t>H</w:t>
      </w:r>
      <w:r>
        <w:rPr>
          <w:color w:val="3B3A3A"/>
          <w:sz w:val="17"/>
        </w:rPr>
        <w:t>.</w:t>
      </w:r>
      <w:r>
        <w:rPr>
          <w:color w:val="3B3A3A"/>
          <w:spacing w:val="7"/>
          <w:sz w:val="17"/>
        </w:rPr>
        <w:t> </w:t>
      </w:r>
      <w:r>
        <w:rPr>
          <w:color w:val="181A1A"/>
          <w:sz w:val="17"/>
        </w:rPr>
        <w:t>(1964)</w:t>
      </w:r>
      <w:r>
        <w:rPr>
          <w:color w:val="3B3A3A"/>
          <w:sz w:val="17"/>
        </w:rPr>
        <w:t>. </w:t>
      </w:r>
      <w:r>
        <w:rPr>
          <w:color w:val="181A1A"/>
          <w:sz w:val="17"/>
        </w:rPr>
        <w:t>Work</w:t>
      </w:r>
      <w:r>
        <w:rPr>
          <w:color w:val="181A1A"/>
          <w:spacing w:val="17"/>
          <w:sz w:val="17"/>
        </w:rPr>
        <w:t> </w:t>
      </w:r>
      <w:r>
        <w:rPr>
          <w:color w:val="181A1A"/>
          <w:sz w:val="17"/>
        </w:rPr>
        <w:t>and</w:t>
      </w:r>
      <w:r>
        <w:rPr>
          <w:color w:val="181A1A"/>
          <w:spacing w:val="19"/>
          <w:sz w:val="17"/>
        </w:rPr>
        <w:t> </w:t>
      </w:r>
      <w:r>
        <w:rPr>
          <w:color w:val="181A1A"/>
          <w:sz w:val="17"/>
        </w:rPr>
        <w:t>motivation</w:t>
      </w:r>
      <w:r>
        <w:rPr>
          <w:color w:val="3B3A3A"/>
          <w:sz w:val="17"/>
        </w:rPr>
        <w:t>. </w:t>
      </w:r>
      <w:r>
        <w:rPr>
          <w:color w:val="181A1A"/>
          <w:spacing w:val="-2"/>
          <w:sz w:val="17"/>
        </w:rPr>
        <w:t>Wiley</w:t>
      </w:r>
      <w:r>
        <w:rPr>
          <w:color w:val="3B3A3A"/>
          <w:spacing w:val="-2"/>
          <w:sz w:val="17"/>
        </w:rPr>
        <w:t>.</w:t>
      </w:r>
    </w:p>
    <w:p>
      <w:pPr>
        <w:spacing w:line="247" w:lineRule="auto" w:before="0"/>
        <w:ind w:left="668" w:right="320" w:hanging="342"/>
        <w:jc w:val="both"/>
        <w:rPr>
          <w:sz w:val="17"/>
        </w:rPr>
      </w:pPr>
      <w:r>
        <w:rPr>
          <w:color w:val="181A1A"/>
          <w:sz w:val="17"/>
        </w:rPr>
        <w:t>Wang</w:t>
      </w:r>
      <w:r>
        <w:rPr>
          <w:color w:val="3B3A3A"/>
          <w:sz w:val="17"/>
        </w:rPr>
        <w:t>, </w:t>
      </w:r>
      <w:r>
        <w:rPr>
          <w:color w:val="181A1A"/>
          <w:sz w:val="17"/>
        </w:rPr>
        <w:t>L.</w:t>
      </w:r>
      <w:r>
        <w:rPr>
          <w:color w:val="3B3A3A"/>
          <w:sz w:val="17"/>
        </w:rPr>
        <w:t>, </w:t>
      </w:r>
      <w:r>
        <w:rPr>
          <w:color w:val="181A1A"/>
          <w:sz w:val="17"/>
        </w:rPr>
        <w:t>&amp; Wang, </w:t>
      </w:r>
      <w:r>
        <w:rPr>
          <w:rFonts w:ascii="Arial"/>
          <w:b/>
          <w:color w:val="181A1A"/>
          <w:sz w:val="16"/>
        </w:rPr>
        <w:t>K. </w:t>
      </w:r>
      <w:r>
        <w:rPr>
          <w:color w:val="181A1A"/>
          <w:sz w:val="17"/>
        </w:rPr>
        <w:t>(2012). The influence of career development, leader</w:t>
      </w:r>
      <w:r>
        <w:rPr>
          <w:color w:val="3B3A3A"/>
          <w:sz w:val="17"/>
        </w:rPr>
        <w:t>s</w:t>
      </w:r>
      <w:r>
        <w:rPr>
          <w:color w:val="181A1A"/>
          <w:sz w:val="17"/>
        </w:rPr>
        <w:t>hip development</w:t>
      </w:r>
      <w:r>
        <w:rPr>
          <w:color w:val="3B3A3A"/>
          <w:sz w:val="17"/>
        </w:rPr>
        <w:t>,</w:t>
      </w:r>
      <w:r>
        <w:rPr>
          <w:color w:val="3B3A3A"/>
          <w:spacing w:val="-2"/>
          <w:sz w:val="17"/>
        </w:rPr>
        <w:t> </w:t>
      </w:r>
      <w:r>
        <w:rPr>
          <w:color w:val="181A1A"/>
          <w:sz w:val="17"/>
        </w:rPr>
        <w:t>and job rotation on employee career anchors: The case of Taiwanese insurance companies. African Journal of Business Management</w:t>
      </w:r>
      <w:r>
        <w:rPr>
          <w:color w:val="3B3A3A"/>
          <w:sz w:val="17"/>
        </w:rPr>
        <w:t>, </w:t>
      </w:r>
      <w:r>
        <w:rPr>
          <w:color w:val="181A1A"/>
          <w:sz w:val="17"/>
        </w:rPr>
        <w:t>6(6)</w:t>
      </w:r>
      <w:r>
        <w:rPr>
          <w:color w:val="3B3A3A"/>
          <w:sz w:val="17"/>
        </w:rPr>
        <w:t>, </w:t>
      </w:r>
      <w:r>
        <w:rPr>
          <w:color w:val="181A1A"/>
          <w:sz w:val="17"/>
        </w:rPr>
        <w:t>2160-2172</w:t>
      </w:r>
      <w:r>
        <w:rPr>
          <w:color w:val="3B3A3A"/>
          <w:sz w:val="17"/>
        </w:rPr>
        <w:t>.</w:t>
      </w: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rPr>
          <w:sz w:val="17"/>
        </w:rPr>
      </w:pPr>
    </w:p>
    <w:p>
      <w:pPr>
        <w:pStyle w:val="BodyText"/>
        <w:spacing w:before="164"/>
        <w:rPr>
          <w:sz w:val="17"/>
        </w:rPr>
      </w:pPr>
    </w:p>
    <w:p>
      <w:pPr>
        <w:spacing w:before="0"/>
        <w:ind w:left="856" w:right="823" w:firstLine="0"/>
        <w:jc w:val="center"/>
        <w:rPr>
          <w:sz w:val="17"/>
        </w:rPr>
      </w:pPr>
      <w:r>
        <w:rPr>
          <w:color w:val="3B3A3A"/>
          <w:spacing w:val="-5"/>
          <w:w w:val="105"/>
          <w:sz w:val="17"/>
        </w:rPr>
        <w:t>77</w:t>
      </w:r>
    </w:p>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1004" w:hanging="340"/>
        <w:jc w:val="left"/>
      </w:pPr>
      <w:rPr>
        <w:rFonts w:hint="default"/>
        <w:spacing w:val="-1"/>
        <w:w w:val="89"/>
        <w:lang w:val="en-US" w:eastAsia="en-US" w:bidi="ar-SA"/>
      </w:rPr>
    </w:lvl>
    <w:lvl w:ilvl="1">
      <w:start w:val="0"/>
      <w:numFmt w:val="bullet"/>
      <w:lvlText w:val="•"/>
      <w:lvlJc w:val="left"/>
      <w:pPr>
        <w:ind w:left="1764" w:hanging="340"/>
      </w:pPr>
      <w:rPr>
        <w:rFonts w:hint="default"/>
        <w:lang w:val="en-US" w:eastAsia="en-US" w:bidi="ar-SA"/>
      </w:rPr>
    </w:lvl>
    <w:lvl w:ilvl="2">
      <w:start w:val="0"/>
      <w:numFmt w:val="bullet"/>
      <w:lvlText w:val="•"/>
      <w:lvlJc w:val="left"/>
      <w:pPr>
        <w:ind w:left="2528" w:hanging="340"/>
      </w:pPr>
      <w:rPr>
        <w:rFonts w:hint="default"/>
        <w:lang w:val="en-US" w:eastAsia="en-US" w:bidi="ar-SA"/>
      </w:rPr>
    </w:lvl>
    <w:lvl w:ilvl="3">
      <w:start w:val="0"/>
      <w:numFmt w:val="bullet"/>
      <w:lvlText w:val="•"/>
      <w:lvlJc w:val="left"/>
      <w:pPr>
        <w:ind w:left="3292" w:hanging="340"/>
      </w:pPr>
      <w:rPr>
        <w:rFonts w:hint="default"/>
        <w:lang w:val="en-US" w:eastAsia="en-US" w:bidi="ar-SA"/>
      </w:rPr>
    </w:lvl>
    <w:lvl w:ilvl="4">
      <w:start w:val="0"/>
      <w:numFmt w:val="bullet"/>
      <w:lvlText w:val="•"/>
      <w:lvlJc w:val="left"/>
      <w:pPr>
        <w:ind w:left="4056" w:hanging="340"/>
      </w:pPr>
      <w:rPr>
        <w:rFonts w:hint="default"/>
        <w:lang w:val="en-US" w:eastAsia="en-US" w:bidi="ar-SA"/>
      </w:rPr>
    </w:lvl>
    <w:lvl w:ilvl="5">
      <w:start w:val="0"/>
      <w:numFmt w:val="bullet"/>
      <w:lvlText w:val="•"/>
      <w:lvlJc w:val="left"/>
      <w:pPr>
        <w:ind w:left="4820" w:hanging="340"/>
      </w:pPr>
      <w:rPr>
        <w:rFonts w:hint="default"/>
        <w:lang w:val="en-US" w:eastAsia="en-US" w:bidi="ar-SA"/>
      </w:rPr>
    </w:lvl>
    <w:lvl w:ilvl="6">
      <w:start w:val="0"/>
      <w:numFmt w:val="bullet"/>
      <w:lvlText w:val="•"/>
      <w:lvlJc w:val="left"/>
      <w:pPr>
        <w:ind w:left="5584" w:hanging="340"/>
      </w:pPr>
      <w:rPr>
        <w:rFonts w:hint="default"/>
        <w:lang w:val="en-US" w:eastAsia="en-US" w:bidi="ar-SA"/>
      </w:rPr>
    </w:lvl>
    <w:lvl w:ilvl="7">
      <w:start w:val="0"/>
      <w:numFmt w:val="bullet"/>
      <w:lvlText w:val="•"/>
      <w:lvlJc w:val="left"/>
      <w:pPr>
        <w:ind w:left="6348" w:hanging="340"/>
      </w:pPr>
      <w:rPr>
        <w:rFonts w:hint="default"/>
        <w:lang w:val="en-US" w:eastAsia="en-US" w:bidi="ar-SA"/>
      </w:rPr>
    </w:lvl>
    <w:lvl w:ilvl="8">
      <w:start w:val="0"/>
      <w:numFmt w:val="bullet"/>
      <w:lvlText w:val="•"/>
      <w:lvlJc w:val="left"/>
      <w:pPr>
        <w:ind w:left="7112" w:hanging="340"/>
      </w:pPr>
      <w:rPr>
        <w:rFonts w:hint="default"/>
        <w:lang w:val="en-US" w:eastAsia="en-US" w:bidi="ar-SA"/>
      </w:rPr>
    </w:lvl>
  </w:abstractNum>
  <w:abstractNum w:abstractNumId="0">
    <w:multiLevelType w:val="hybridMultilevel"/>
    <w:lvl w:ilvl="0">
      <w:start w:val="1"/>
      <w:numFmt w:val="decimal"/>
      <w:lvlText w:val="%1."/>
      <w:lvlJc w:val="left"/>
      <w:pPr>
        <w:ind w:left="402" w:hanging="217"/>
        <w:jc w:val="right"/>
      </w:pPr>
      <w:rPr>
        <w:rFonts w:hint="default"/>
        <w:spacing w:val="0"/>
        <w:w w:val="105"/>
        <w:lang w:val="en-US" w:eastAsia="en-US" w:bidi="ar-SA"/>
      </w:rPr>
    </w:lvl>
    <w:lvl w:ilvl="1">
      <w:start w:val="1"/>
      <w:numFmt w:val="decimal"/>
      <w:lvlText w:val="%1.%2"/>
      <w:lvlJc w:val="left"/>
      <w:pPr>
        <w:ind w:left="512" w:hanging="331"/>
        <w:jc w:val="right"/>
      </w:pPr>
      <w:rPr>
        <w:rFonts w:hint="default"/>
        <w:spacing w:val="0"/>
        <w:w w:val="103"/>
        <w:lang w:val="en-US" w:eastAsia="en-US" w:bidi="ar-SA"/>
      </w:rPr>
    </w:lvl>
    <w:lvl w:ilvl="2">
      <w:start w:val="1"/>
      <w:numFmt w:val="decimal"/>
      <w:lvlText w:val="%1.%2.%3"/>
      <w:lvlJc w:val="left"/>
      <w:pPr>
        <w:ind w:left="791" w:hanging="480"/>
        <w:jc w:val="left"/>
      </w:pPr>
      <w:rPr>
        <w:rFonts w:hint="default"/>
        <w:spacing w:val="0"/>
        <w:w w:val="105"/>
        <w:lang w:val="en-US" w:eastAsia="en-US" w:bidi="ar-SA"/>
      </w:rPr>
    </w:lvl>
    <w:lvl w:ilvl="3">
      <w:start w:val="0"/>
      <w:numFmt w:val="bullet"/>
      <w:lvlText w:val="•"/>
      <w:lvlJc w:val="left"/>
      <w:pPr>
        <w:ind w:left="640" w:hanging="480"/>
      </w:pPr>
      <w:rPr>
        <w:rFonts w:hint="default"/>
        <w:lang w:val="en-US" w:eastAsia="en-US" w:bidi="ar-SA"/>
      </w:rPr>
    </w:lvl>
    <w:lvl w:ilvl="4">
      <w:start w:val="0"/>
      <w:numFmt w:val="bullet"/>
      <w:lvlText w:val="•"/>
      <w:lvlJc w:val="left"/>
      <w:pPr>
        <w:ind w:left="680" w:hanging="480"/>
      </w:pPr>
      <w:rPr>
        <w:rFonts w:hint="default"/>
        <w:lang w:val="en-US" w:eastAsia="en-US" w:bidi="ar-SA"/>
      </w:rPr>
    </w:lvl>
    <w:lvl w:ilvl="5">
      <w:start w:val="0"/>
      <w:numFmt w:val="bullet"/>
      <w:lvlText w:val="•"/>
      <w:lvlJc w:val="left"/>
      <w:pPr>
        <w:ind w:left="800" w:hanging="480"/>
      </w:pPr>
      <w:rPr>
        <w:rFonts w:hint="default"/>
        <w:lang w:val="en-US" w:eastAsia="en-US" w:bidi="ar-SA"/>
      </w:rPr>
    </w:lvl>
    <w:lvl w:ilvl="6">
      <w:start w:val="0"/>
      <w:numFmt w:val="bullet"/>
      <w:lvlText w:val="•"/>
      <w:lvlJc w:val="left"/>
      <w:pPr>
        <w:ind w:left="2368" w:hanging="480"/>
      </w:pPr>
      <w:rPr>
        <w:rFonts w:hint="default"/>
        <w:lang w:val="en-US" w:eastAsia="en-US" w:bidi="ar-SA"/>
      </w:rPr>
    </w:lvl>
    <w:lvl w:ilvl="7">
      <w:start w:val="0"/>
      <w:numFmt w:val="bullet"/>
      <w:lvlText w:val="•"/>
      <w:lvlJc w:val="left"/>
      <w:pPr>
        <w:ind w:left="3936" w:hanging="480"/>
      </w:pPr>
      <w:rPr>
        <w:rFonts w:hint="default"/>
        <w:lang w:val="en-US" w:eastAsia="en-US" w:bidi="ar-SA"/>
      </w:rPr>
    </w:lvl>
    <w:lvl w:ilvl="8">
      <w:start w:val="0"/>
      <w:numFmt w:val="bullet"/>
      <w:lvlText w:val="•"/>
      <w:lvlJc w:val="left"/>
      <w:pPr>
        <w:ind w:left="5504" w:hanging="480"/>
      </w:pPr>
      <w:rPr>
        <w:rFonts w:hint="default"/>
        <w:lang w:val="en-US"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1"/>
      <w:szCs w:val="21"/>
      <w:lang w:val="en-US" w:eastAsia="en-US" w:bidi="ar-SA"/>
    </w:rPr>
  </w:style>
  <w:style w:styleId="Heading1" w:type="paragraph">
    <w:name w:val="Heading 1"/>
    <w:basedOn w:val="Normal"/>
    <w:uiPriority w:val="1"/>
    <w:qFormat/>
    <w:pPr>
      <w:spacing w:line="560" w:lineRule="exact"/>
      <w:ind w:left="37"/>
      <w:outlineLvl w:val="1"/>
    </w:pPr>
    <w:rPr>
      <w:rFonts w:ascii="Times New Roman" w:hAnsi="Times New Roman" w:eastAsia="Times New Roman" w:cs="Times New Roman"/>
      <w:sz w:val="53"/>
      <w:szCs w:val="53"/>
      <w:lang w:val="en-US" w:eastAsia="en-US" w:bidi="ar-SA"/>
    </w:rPr>
  </w:style>
  <w:style w:styleId="Heading2" w:type="paragraph">
    <w:name w:val="Heading 2"/>
    <w:basedOn w:val="Normal"/>
    <w:uiPriority w:val="1"/>
    <w:qFormat/>
    <w:pPr>
      <w:spacing w:before="153"/>
      <w:ind w:left="181" w:hanging="2"/>
      <w:jc w:val="both"/>
      <w:outlineLvl w:val="2"/>
    </w:pPr>
    <w:rPr>
      <w:rFonts w:ascii="Times New Roman" w:hAnsi="Times New Roman" w:eastAsia="Times New Roman" w:cs="Times New Roman"/>
      <w:sz w:val="22"/>
      <w:szCs w:val="22"/>
      <w:lang w:val="en-US" w:eastAsia="en-US" w:bidi="ar-SA"/>
    </w:rPr>
  </w:style>
  <w:style w:styleId="ListParagraph" w:type="paragraph">
    <w:name w:val="List Paragraph"/>
    <w:basedOn w:val="Normal"/>
    <w:uiPriority w:val="1"/>
    <w:qFormat/>
    <w:pPr>
      <w:ind w:left="1004" w:hanging="344"/>
      <w:jc w:val="both"/>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jpeg"/><Relationship Id="rId1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Tazul</dc:creator>
  <dc:title>Journal (B) 2023.cdr</dc:title>
  <dcterms:created xsi:type="dcterms:W3CDTF">2026-01-08T10:02:14Z</dcterms:created>
  <dcterms:modified xsi:type="dcterms:W3CDTF">2026-01-08T10:02:14Z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2025-12-10T00:00:00Z</vt:filetime>
  </property>
  <property fmtid="{D5CDD505-2E9C-101B-9397-08002B2CF9AE}" pid="3" name="Creator">
    <vt:lpwstr>CorelDRAW 2021</vt:lpwstr>
  </property>
  <property fmtid="{D5CDD505-2E9C-101B-9397-08002B2CF9AE}" pid="4" name="LastSaved">
    <vt:filetime>2026-01-08T00:00:00Z</vt:filetime>
  </property>
  <property fmtid="{D5CDD505-2E9C-101B-9397-08002B2CF9AE}" pid="5" name="Producer">
    <vt:lpwstr>Corel PDF Engine Version 23.1.0.389</vt:lpwstr>
  </property>
</Properties>
</file>