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tabs>
          <w:tab w:pos="5038" w:val="left" w:leader="none"/>
        </w:tabs>
        <w:spacing w:line="216" w:lineRule="auto" w:before="82"/>
        <w:ind w:left="6790" w:right="178" w:hanging="6614"/>
        <w:jc w:val="right"/>
        <w:rPr>
          <w:sz w:val="18"/>
        </w:rPr>
      </w:pPr>
      <w:r>
        <w:rPr>
          <w:sz w:val="18"/>
        </w:rPr>
        <mc:AlternateContent>
          <mc:Choice Requires="wps">
            <w:drawing>
              <wp:anchor distT="0" distB="0" distL="0" distR="0" allowOverlap="1" layoutInCell="1" locked="0" behindDoc="1" simplePos="0" relativeHeight="487543808">
                <wp:simplePos x="0" y="0"/>
                <wp:positionH relativeFrom="page">
                  <wp:posOffset>1028700</wp:posOffset>
                </wp:positionH>
                <wp:positionV relativeFrom="paragraph">
                  <wp:posOffset>76200</wp:posOffset>
                </wp:positionV>
                <wp:extent cx="5257800" cy="7315200"/>
                <wp:effectExtent l="0" t="0" r="0" b="0"/>
                <wp:wrapNone/>
                <wp:docPr id="1" name="Graphic 1"/>
                <wp:cNvGraphicFramePr>
                  <a:graphicFrameLocks/>
                </wp:cNvGraphicFramePr>
                <a:graphic>
                  <a:graphicData uri="http://schemas.microsoft.com/office/word/2010/wordprocessingShape">
                    <wps:wsp>
                      <wps:cNvPr id="1" name="Graphic 1"/>
                      <wps:cNvSpPr/>
                      <wps:spPr>
                        <a:xfrm>
                          <a:off x="0" y="0"/>
                          <a:ext cx="5257800" cy="7315200"/>
                        </a:xfrm>
                        <a:custGeom>
                          <a:avLst/>
                          <a:gdLst/>
                          <a:ahLst/>
                          <a:cxnLst/>
                          <a:rect l="l" t="t" r="r" b="b"/>
                          <a:pathLst>
                            <a:path w="5257800" h="7315200">
                              <a:moveTo>
                                <a:pt x="0" y="0"/>
                              </a:moveTo>
                              <a:lnTo>
                                <a:pt x="5257800" y="0"/>
                              </a:lnTo>
                              <a:lnTo>
                                <a:pt x="5257800" y="7315200"/>
                              </a:lnTo>
                              <a:lnTo>
                                <a:pt x="0" y="7315200"/>
                              </a:lnTo>
                              <a:lnTo>
                                <a:pt x="0" y="0"/>
                              </a:lnTo>
                              <a:close/>
                            </a:path>
                          </a:pathLst>
                        </a:custGeom>
                        <a:ln w="2541">
                          <a:solidFill>
                            <a:srgbClr val="E6E7E8"/>
                          </a:solidFill>
                          <a:prstDash val="solid"/>
                        </a:ln>
                      </wps:spPr>
                      <wps:bodyPr wrap="square" lIns="0" tIns="0" rIns="0" bIns="0" rtlCol="0">
                        <a:prstTxWarp prst="textNoShape">
                          <a:avLst/>
                        </a:prstTxWarp>
                        <a:noAutofit/>
                      </wps:bodyPr>
                    </wps:wsp>
                  </a:graphicData>
                </a:graphic>
              </wp:anchor>
            </w:drawing>
          </mc:Choice>
          <mc:Fallback>
            <w:pict>
              <v:rect style="position:absolute;margin-left:81pt;margin-top:6pt;width:414pt;height:576pt;mso-position-horizontal-relative:page;mso-position-vertical-relative:paragraph;z-index:-15772672" id="docshape1" filled="false" stroked="true" strokeweight=".2001pt" strokecolor="#e6e7e8">
                <v:stroke dashstyle="solid"/>
                <w10:wrap type="none"/>
              </v:rect>
            </w:pict>
          </mc:Fallback>
        </mc:AlternateContent>
      </w:r>
      <w:bookmarkStart w:name="Page 41" w:id="1"/>
      <w:bookmarkEnd w:id="1"/>
      <w:r>
        <w:rPr/>
      </w:r>
      <w:bookmarkStart w:name="Page 43" w:id="2"/>
      <w:bookmarkEnd w:id="2"/>
      <w:r>
        <w:rPr/>
      </w:r>
      <w:bookmarkStart w:name="Page 44" w:id="3"/>
      <w:bookmarkEnd w:id="3"/>
      <w:r>
        <w:rPr/>
      </w:r>
      <w:bookmarkStart w:name="Page 45" w:id="4"/>
      <w:bookmarkEnd w:id="4"/>
      <w:r>
        <w:rPr/>
      </w:r>
      <w:bookmarkStart w:name="Page 46" w:id="5"/>
      <w:bookmarkEnd w:id="5"/>
      <w:r>
        <w:rPr/>
      </w:r>
      <w:bookmarkStart w:name="Page 47" w:id="6"/>
      <w:bookmarkEnd w:id="6"/>
      <w:r>
        <w:rPr/>
      </w:r>
      <w:bookmarkStart w:name="Page 48" w:id="7"/>
      <w:bookmarkEnd w:id="7"/>
      <w:r>
        <w:rPr/>
      </w:r>
      <w:bookmarkStart w:name="Page 49" w:id="8"/>
      <w:bookmarkEnd w:id="8"/>
      <w:r>
        <w:rPr/>
      </w:r>
      <w:bookmarkStart w:name="Page 50" w:id="9"/>
      <w:bookmarkEnd w:id="9"/>
      <w:r>
        <w:rPr/>
      </w:r>
      <w:bookmarkStart w:name="Page 51" w:id="10"/>
      <w:bookmarkEnd w:id="10"/>
      <w:r>
        <w:rPr/>
      </w:r>
      <w:bookmarkStart w:name="Page 52" w:id="11"/>
      <w:bookmarkEnd w:id="11"/>
      <w:r>
        <w:rPr/>
      </w:r>
      <w:bookmarkStart w:name="Page 53" w:id="12"/>
      <w:bookmarkEnd w:id="12"/>
      <w:r>
        <w:rPr/>
      </w:r>
      <w:bookmarkStart w:name="Page 54" w:id="13"/>
      <w:bookmarkEnd w:id="13"/>
      <w:r>
        <w:rPr/>
      </w:r>
      <w:bookmarkStart w:name="Page 55" w:id="14"/>
      <w:bookmarkEnd w:id="14"/>
      <w:r>
        <w:rPr/>
      </w:r>
      <w:bookmarkStart w:name="Page 56" w:id="15"/>
      <w:bookmarkEnd w:id="15"/>
      <w:r>
        <w:rPr/>
      </w:r>
      <w:r>
        <w:rPr>
          <w:sz w:val="21"/>
        </w:rPr>
        <w:t>ISSN</w:t>
      </w:r>
      <w:r>
        <w:rPr>
          <w:spacing w:val="40"/>
          <w:sz w:val="21"/>
        </w:rPr>
        <w:t> </w:t>
      </w:r>
      <w:r>
        <w:rPr>
          <w:sz w:val="21"/>
        </w:rPr>
        <w:t>2413-3116</w:t>
        <w:tab/>
      </w:r>
      <w:r>
        <w:rPr>
          <w:position w:val="1"/>
          <w:sz w:val="18"/>
        </w:rPr>
        <w:t>Comilla</w:t>
      </w:r>
      <w:r>
        <w:rPr>
          <w:spacing w:val="-6"/>
          <w:position w:val="1"/>
          <w:sz w:val="18"/>
        </w:rPr>
        <w:t> </w:t>
      </w:r>
      <w:r>
        <w:rPr>
          <w:position w:val="1"/>
          <w:sz w:val="18"/>
        </w:rPr>
        <w:t>University</w:t>
      </w:r>
      <w:r>
        <w:rPr>
          <w:spacing w:val="-7"/>
          <w:position w:val="1"/>
          <w:sz w:val="18"/>
        </w:rPr>
        <w:t> </w:t>
      </w:r>
      <w:r>
        <w:rPr>
          <w:position w:val="1"/>
          <w:sz w:val="18"/>
        </w:rPr>
        <w:t>Journal</w:t>
      </w:r>
      <w:r>
        <w:rPr>
          <w:spacing w:val="-4"/>
          <w:position w:val="1"/>
          <w:sz w:val="18"/>
        </w:rPr>
        <w:t> </w:t>
      </w:r>
      <w:r>
        <w:rPr>
          <w:position w:val="1"/>
          <w:sz w:val="18"/>
        </w:rPr>
        <w:t>of</w:t>
      </w:r>
      <w:r>
        <w:rPr>
          <w:spacing w:val="-12"/>
          <w:position w:val="1"/>
          <w:sz w:val="18"/>
        </w:rPr>
        <w:t> </w:t>
      </w:r>
      <w:r>
        <w:rPr>
          <w:position w:val="1"/>
          <w:sz w:val="18"/>
        </w:rPr>
        <w:t>Business</w:t>
      </w:r>
      <w:r>
        <w:rPr>
          <w:spacing w:val="-4"/>
          <w:position w:val="1"/>
          <w:sz w:val="18"/>
        </w:rPr>
        <w:t> </w:t>
      </w:r>
      <w:r>
        <w:rPr>
          <w:position w:val="1"/>
          <w:sz w:val="18"/>
        </w:rPr>
        <w:t>Studies </w:t>
      </w:r>
      <w:r>
        <w:rPr>
          <w:sz w:val="18"/>
        </w:rPr>
        <w:t>Volume 10</w:t>
      </w:r>
      <w:r>
        <w:rPr>
          <w:spacing w:val="60"/>
          <w:w w:val="150"/>
          <w:sz w:val="18"/>
        </w:rPr>
        <w:t> </w:t>
      </w:r>
      <w:r>
        <w:rPr>
          <w:sz w:val="18"/>
        </w:rPr>
        <w:t>Number</w:t>
      </w:r>
      <w:r>
        <w:rPr>
          <w:spacing w:val="6"/>
          <w:sz w:val="18"/>
        </w:rPr>
        <w:t> </w:t>
      </w:r>
      <w:r>
        <w:rPr>
          <w:spacing w:val="-10"/>
          <w:sz w:val="18"/>
        </w:rPr>
        <w:t>1</w:t>
      </w:r>
    </w:p>
    <w:p>
      <w:pPr>
        <w:pStyle w:val="BodyText"/>
        <w:rPr>
          <w:sz w:val="18"/>
        </w:rPr>
      </w:pPr>
    </w:p>
    <w:p>
      <w:pPr>
        <w:pStyle w:val="BodyText"/>
        <w:spacing w:before="92"/>
        <w:rPr>
          <w:sz w:val="18"/>
        </w:rPr>
      </w:pPr>
    </w:p>
    <w:p>
      <w:pPr>
        <w:spacing w:line="230" w:lineRule="auto" w:before="0"/>
        <w:ind w:left="1343" w:right="1360" w:firstLine="0"/>
        <w:jc w:val="center"/>
        <w:rPr>
          <w:sz w:val="27"/>
        </w:rPr>
      </w:pPr>
      <w:r>
        <w:rPr>
          <w:sz w:val="27"/>
        </w:rPr>
        <w:t>An Empirical Test of the Arbitrage Pricing Theory: The Case of Dhaka Stock Exchange (DSE)</w:t>
      </w:r>
    </w:p>
    <w:p>
      <w:pPr>
        <w:spacing w:line="254" w:lineRule="exact" w:before="267"/>
        <w:ind w:left="0" w:right="181" w:firstLine="0"/>
        <w:jc w:val="right"/>
        <w:rPr>
          <w:rFonts w:ascii="Cambria"/>
          <w:sz w:val="22"/>
        </w:rPr>
      </w:pPr>
      <w:r>
        <w:rPr>
          <w:rFonts w:ascii="Cambria"/>
          <w:spacing w:val="-4"/>
          <w:sz w:val="22"/>
        </w:rPr>
        <w:t>*</w:t>
      </w:r>
      <w:r>
        <w:rPr>
          <w:rFonts w:ascii="Cambria"/>
          <w:spacing w:val="-9"/>
          <w:sz w:val="22"/>
        </w:rPr>
        <w:t> </w:t>
      </w:r>
      <w:r>
        <w:rPr>
          <w:rFonts w:ascii="Cambria"/>
          <w:spacing w:val="-4"/>
          <w:sz w:val="22"/>
        </w:rPr>
        <w:t>Farhana</w:t>
      </w:r>
      <w:r>
        <w:rPr>
          <w:rFonts w:ascii="Cambria"/>
          <w:spacing w:val="-7"/>
          <w:sz w:val="22"/>
        </w:rPr>
        <w:t> </w:t>
      </w:r>
      <w:r>
        <w:rPr>
          <w:rFonts w:ascii="Cambria"/>
          <w:spacing w:val="-4"/>
          <w:sz w:val="22"/>
        </w:rPr>
        <w:t>Akter</w:t>
      </w:r>
    </w:p>
    <w:p>
      <w:pPr>
        <w:spacing w:line="254" w:lineRule="exact" w:before="0"/>
        <w:ind w:left="0" w:right="183" w:firstLine="0"/>
        <w:jc w:val="right"/>
        <w:rPr>
          <w:rFonts w:ascii="Cambria"/>
          <w:sz w:val="22"/>
        </w:rPr>
      </w:pPr>
      <w:r>
        <w:rPr>
          <w:rFonts w:ascii="Cambria"/>
          <w:spacing w:val="-2"/>
          <w:sz w:val="22"/>
        </w:rPr>
        <w:t>**</w:t>
      </w:r>
      <w:r>
        <w:rPr>
          <w:rFonts w:ascii="Cambria"/>
          <w:spacing w:val="-10"/>
          <w:sz w:val="22"/>
        </w:rPr>
        <w:t> </w:t>
      </w:r>
      <w:r>
        <w:rPr>
          <w:rFonts w:ascii="Cambria"/>
          <w:spacing w:val="-2"/>
          <w:sz w:val="22"/>
        </w:rPr>
        <w:t>Tandra</w:t>
      </w:r>
      <w:r>
        <w:rPr>
          <w:rFonts w:ascii="Cambria"/>
          <w:spacing w:val="-10"/>
          <w:sz w:val="22"/>
        </w:rPr>
        <w:t> </w:t>
      </w:r>
      <w:r>
        <w:rPr>
          <w:rFonts w:ascii="Cambria"/>
          <w:spacing w:val="-2"/>
          <w:sz w:val="22"/>
        </w:rPr>
        <w:t>Mondal</w:t>
      </w:r>
    </w:p>
    <w:p>
      <w:pPr>
        <w:pStyle w:val="BodyText"/>
        <w:spacing w:before="125"/>
        <w:rPr>
          <w:rFonts w:ascii="Cambria"/>
          <w:sz w:val="22"/>
        </w:rPr>
      </w:pPr>
    </w:p>
    <w:p>
      <w:pPr>
        <w:spacing w:line="288" w:lineRule="auto" w:before="0"/>
        <w:ind w:left="895" w:right="895" w:firstLine="0"/>
        <w:jc w:val="both"/>
        <w:rPr>
          <w:i/>
          <w:sz w:val="18"/>
        </w:rPr>
      </w:pPr>
      <w:r>
        <w:rPr>
          <w:b/>
          <w:sz w:val="18"/>
        </w:rPr>
        <w:t>Abstract: </w:t>
      </w:r>
      <w:r>
        <w:rPr>
          <w:i/>
          <w:sz w:val="18"/>
        </w:rPr>
        <w:t>This study empirically tested Arbitrage Pricing Theory (APT) in the Dhaka Stock</w:t>
      </w:r>
      <w:r>
        <w:rPr>
          <w:i/>
          <w:sz w:val="18"/>
        </w:rPr>
        <w:t> Exchange [DSE) using five macroeconomic variables namely money supply, index of</w:t>
      </w:r>
      <w:r>
        <w:rPr>
          <w:i/>
          <w:spacing w:val="40"/>
          <w:sz w:val="18"/>
        </w:rPr>
        <w:t> </w:t>
      </w:r>
      <w:r>
        <w:rPr>
          <w:i/>
          <w:sz w:val="18"/>
        </w:rPr>
        <w:t>industrial production, crude oil price, remittance, and foreign exchange reserves.</w:t>
      </w:r>
      <w:r>
        <w:rPr>
          <w:i/>
          <w:spacing w:val="40"/>
          <w:sz w:val="18"/>
        </w:rPr>
        <w:t> </w:t>
      </w:r>
      <w:r>
        <w:rPr>
          <w:i/>
          <w:sz w:val="18"/>
        </w:rPr>
        <w:t>Monthly data from January 2013 to June 2021 was employed in the empirical analysis. The study adopted the Autoregressive Distributed Lag (ARDL) Model and Granger causality test. The long-run ARDL results indicate that none of the selected macroeconomic variables have statistically significant influence on stock return in the long term. Except for remittances, the other four variables are positively related to the stock return of DSE. The divergence of remittance may be attributed to its predominant allocation toward household consumption, land acquisition and other non-equity investments. In the short run, money supply and crude oil price have significant and positive impact on stock return while the other variables have insignificant</w:t>
      </w:r>
      <w:r>
        <w:rPr>
          <w:i/>
          <w:spacing w:val="24"/>
          <w:sz w:val="18"/>
        </w:rPr>
        <w:t> </w:t>
      </w:r>
      <w:r>
        <w:rPr>
          <w:i/>
          <w:sz w:val="18"/>
        </w:rPr>
        <w:t>effects. The study suggests</w:t>
      </w:r>
      <w:r>
        <w:rPr>
          <w:i/>
          <w:spacing w:val="17"/>
          <w:sz w:val="18"/>
        </w:rPr>
        <w:t> </w:t>
      </w:r>
      <w:r>
        <w:rPr>
          <w:i/>
          <w:sz w:val="18"/>
        </w:rPr>
        <w:t>that 118% of the disequilibrium</w:t>
      </w:r>
      <w:r>
        <w:rPr>
          <w:i/>
          <w:spacing w:val="-4"/>
          <w:sz w:val="18"/>
        </w:rPr>
        <w:t> </w:t>
      </w:r>
      <w:r>
        <w:rPr>
          <w:i/>
          <w:sz w:val="18"/>
        </w:rPr>
        <w:t>in the return</w:t>
      </w:r>
      <w:r>
        <w:rPr>
          <w:i/>
          <w:spacing w:val="17"/>
          <w:sz w:val="18"/>
        </w:rPr>
        <w:t> </w:t>
      </w:r>
      <w:r>
        <w:rPr>
          <w:i/>
          <w:sz w:val="18"/>
        </w:rPr>
        <w:t>of DSE is adjusted monthly to</w:t>
      </w:r>
      <w:r>
        <w:rPr>
          <w:i/>
          <w:spacing w:val="-4"/>
          <w:sz w:val="18"/>
        </w:rPr>
        <w:t> </w:t>
      </w:r>
      <w:r>
        <w:rPr>
          <w:i/>
          <w:sz w:val="18"/>
        </w:rPr>
        <w:t>get back to the long-run equilibrium. The Granger causality test result revealed a bi-directional causality between stock return and money supply and a</w:t>
      </w:r>
      <w:r>
        <w:rPr>
          <w:i/>
          <w:spacing w:val="40"/>
          <w:sz w:val="18"/>
        </w:rPr>
        <w:t> </w:t>
      </w:r>
      <w:r>
        <w:rPr>
          <w:i/>
          <w:sz w:val="18"/>
        </w:rPr>
        <w:t>unidirectional causality running from industrial production index, crude oil price, and remittances to stock return while another unidirectional causality running from the stock return to foreign exchange reserves. Overall, the findings of the results suggest that APT is valid in the DSE in the short run but not applicable in the long run.</w:t>
      </w:r>
    </w:p>
    <w:p>
      <w:pPr>
        <w:spacing w:line="290" w:lineRule="auto" w:before="99"/>
        <w:ind w:left="892" w:right="909" w:firstLine="5"/>
        <w:jc w:val="both"/>
        <w:rPr>
          <w:i/>
          <w:sz w:val="18"/>
        </w:rPr>
      </w:pPr>
      <w:r>
        <w:rPr>
          <w:b/>
          <w:sz w:val="18"/>
        </w:rPr>
        <w:t>Keywords: </w:t>
      </w:r>
      <w:r>
        <w:rPr>
          <w:i/>
          <w:sz w:val="18"/>
        </w:rPr>
        <w:t>Dhaka Stock</w:t>
      </w:r>
      <w:r>
        <w:rPr>
          <w:i/>
          <w:spacing w:val="-6"/>
          <w:sz w:val="18"/>
        </w:rPr>
        <w:t> </w:t>
      </w:r>
      <w:r>
        <w:rPr>
          <w:i/>
          <w:sz w:val="18"/>
        </w:rPr>
        <w:t>Exchange,</w:t>
      </w:r>
      <w:r>
        <w:rPr>
          <w:i/>
          <w:spacing w:val="-4"/>
          <w:sz w:val="18"/>
        </w:rPr>
        <w:t> </w:t>
      </w:r>
      <w:r>
        <w:rPr>
          <w:i/>
          <w:sz w:val="18"/>
        </w:rPr>
        <w:t>Arbitrage</w:t>
      </w:r>
      <w:r>
        <w:rPr>
          <w:i/>
          <w:spacing w:val="-2"/>
          <w:sz w:val="18"/>
        </w:rPr>
        <w:t> </w:t>
      </w:r>
      <w:r>
        <w:rPr>
          <w:i/>
          <w:sz w:val="18"/>
        </w:rPr>
        <w:t>Pricing</w:t>
      </w:r>
      <w:r>
        <w:rPr>
          <w:i/>
          <w:spacing w:val="-1"/>
          <w:sz w:val="18"/>
        </w:rPr>
        <w:t> </w:t>
      </w:r>
      <w:r>
        <w:rPr>
          <w:i/>
          <w:sz w:val="18"/>
        </w:rPr>
        <w:t>Theory,</w:t>
      </w:r>
      <w:r>
        <w:rPr>
          <w:i/>
          <w:spacing w:val="-1"/>
          <w:sz w:val="18"/>
        </w:rPr>
        <w:t> </w:t>
      </w:r>
      <w:r>
        <w:rPr>
          <w:i/>
          <w:sz w:val="18"/>
        </w:rPr>
        <w:t>ARDL</w:t>
      </w:r>
      <w:r>
        <w:rPr>
          <w:i/>
          <w:spacing w:val="-8"/>
          <w:sz w:val="18"/>
        </w:rPr>
        <w:t> </w:t>
      </w:r>
      <w:r>
        <w:rPr>
          <w:i/>
          <w:sz w:val="18"/>
        </w:rPr>
        <w:t>Model,</w:t>
      </w:r>
      <w:r>
        <w:rPr>
          <w:i/>
          <w:spacing w:val="-3"/>
          <w:sz w:val="18"/>
        </w:rPr>
        <w:t> </w:t>
      </w:r>
      <w:r>
        <w:rPr>
          <w:i/>
          <w:sz w:val="18"/>
        </w:rPr>
        <w:t>Stock</w:t>
      </w:r>
      <w:r>
        <w:rPr>
          <w:i/>
          <w:spacing w:val="-8"/>
          <w:sz w:val="18"/>
        </w:rPr>
        <w:t> </w:t>
      </w:r>
      <w:r>
        <w:rPr>
          <w:i/>
          <w:sz w:val="18"/>
        </w:rPr>
        <w:t>return</w:t>
      </w:r>
      <w:r>
        <w:rPr>
          <w:i/>
          <w:spacing w:val="-2"/>
          <w:sz w:val="18"/>
        </w:rPr>
        <w:t> </w:t>
      </w:r>
      <w:r>
        <w:rPr>
          <w:i/>
          <w:sz w:val="18"/>
        </w:rPr>
        <w:t>and</w:t>
      </w:r>
      <w:r>
        <w:rPr>
          <w:i/>
          <w:sz w:val="18"/>
        </w:rPr>
        <w:t> Macroeconomic</w:t>
      </w:r>
      <w:r>
        <w:rPr>
          <w:i/>
          <w:spacing w:val="40"/>
          <w:sz w:val="18"/>
        </w:rPr>
        <w:t> </w:t>
      </w:r>
      <w:r>
        <w:rPr>
          <w:i/>
          <w:sz w:val="18"/>
        </w:rPr>
        <w:t>Variables</w:t>
      </w:r>
    </w:p>
    <w:p>
      <w:pPr>
        <w:pStyle w:val="BodyText"/>
        <w:rPr>
          <w:i/>
          <w:sz w:val="18"/>
        </w:rPr>
      </w:pPr>
    </w:p>
    <w:p>
      <w:pPr>
        <w:pStyle w:val="BodyText"/>
        <w:spacing w:before="80"/>
        <w:rPr>
          <w:i/>
          <w:sz w:val="18"/>
        </w:rPr>
      </w:pPr>
    </w:p>
    <w:p>
      <w:pPr>
        <w:pStyle w:val="Heading1"/>
        <w:numPr>
          <w:ilvl w:val="0"/>
          <w:numId w:val="1"/>
        </w:numPr>
        <w:tabs>
          <w:tab w:pos="392" w:val="left" w:leader="none"/>
        </w:tabs>
        <w:spacing w:line="240" w:lineRule="auto" w:before="0" w:after="0"/>
        <w:ind w:left="392" w:right="0" w:hanging="216"/>
        <w:jc w:val="both"/>
      </w:pPr>
      <w:r>
        <w:rPr>
          <w:spacing w:val="-2"/>
        </w:rPr>
        <w:t>Introduction</w:t>
      </w:r>
    </w:p>
    <w:p>
      <w:pPr>
        <w:pStyle w:val="BodyText"/>
        <w:spacing w:line="276" w:lineRule="auto" w:before="134"/>
        <w:ind w:left="175" w:right="174" w:firstLine="1"/>
        <w:jc w:val="both"/>
      </w:pPr>
      <w:r>
        <w:rPr>
          <w:spacing w:val="-2"/>
        </w:rPr>
        <w:t>Stock</w:t>
      </w:r>
      <w:r>
        <w:rPr>
          <w:spacing w:val="-6"/>
        </w:rPr>
        <w:t> </w:t>
      </w:r>
      <w:r>
        <w:rPr>
          <w:spacing w:val="-2"/>
        </w:rPr>
        <w:t>markets</w:t>
      </w:r>
      <w:r>
        <w:rPr>
          <w:spacing w:val="-5"/>
        </w:rPr>
        <w:t> </w:t>
      </w:r>
      <w:r>
        <w:rPr>
          <w:spacing w:val="-2"/>
        </w:rPr>
        <w:t>are</w:t>
      </w:r>
      <w:r>
        <w:rPr>
          <w:spacing w:val="-8"/>
        </w:rPr>
        <w:t> </w:t>
      </w:r>
      <w:r>
        <w:rPr>
          <w:spacing w:val="-2"/>
        </w:rPr>
        <w:t>crucial</w:t>
      </w:r>
      <w:r>
        <w:rPr>
          <w:spacing w:val="-3"/>
        </w:rPr>
        <w:t> </w:t>
      </w:r>
      <w:r>
        <w:rPr>
          <w:spacing w:val="-2"/>
        </w:rPr>
        <w:t>in</w:t>
      </w:r>
      <w:r>
        <w:rPr>
          <w:spacing w:val="-9"/>
        </w:rPr>
        <w:t> </w:t>
      </w:r>
      <w:r>
        <w:rPr>
          <w:spacing w:val="-2"/>
        </w:rPr>
        <w:t>the</w:t>
      </w:r>
      <w:r>
        <w:rPr>
          <w:spacing w:val="-13"/>
        </w:rPr>
        <w:t> </w:t>
      </w:r>
      <w:r>
        <w:rPr>
          <w:spacing w:val="-2"/>
        </w:rPr>
        <w:t>economic</w:t>
      </w:r>
      <w:r>
        <w:rPr>
          <w:spacing w:val="-2"/>
        </w:rPr>
        <w:t> growth</w:t>
      </w:r>
      <w:r>
        <w:rPr>
          <w:spacing w:val="-6"/>
        </w:rPr>
        <w:t> </w:t>
      </w:r>
      <w:r>
        <w:rPr>
          <w:spacing w:val="-2"/>
        </w:rPr>
        <w:t>process</w:t>
      </w:r>
      <w:r>
        <w:rPr>
          <w:spacing w:val="-3"/>
        </w:rPr>
        <w:t> </w:t>
      </w:r>
      <w:r>
        <w:rPr>
          <w:spacing w:val="-2"/>
        </w:rPr>
        <w:t>by</w:t>
      </w:r>
      <w:r>
        <w:rPr>
          <w:spacing w:val="-9"/>
        </w:rPr>
        <w:t> </w:t>
      </w:r>
      <w:r>
        <w:rPr>
          <w:spacing w:val="-2"/>
        </w:rPr>
        <w:t>enhancing</w:t>
      </w:r>
      <w:r>
        <w:rPr>
          <w:spacing w:val="-2"/>
        </w:rPr>
        <w:t> liquidity,</w:t>
      </w:r>
      <w:r>
        <w:rPr>
          <w:spacing w:val="-3"/>
        </w:rPr>
        <w:t> </w:t>
      </w:r>
      <w:r>
        <w:rPr>
          <w:spacing w:val="-2"/>
        </w:rPr>
        <w:t>collecting </w:t>
      </w:r>
      <w:r>
        <w:rPr>
          <w:spacing w:val="-4"/>
        </w:rPr>
        <w:t>and</w:t>
      </w:r>
      <w:r>
        <w:rPr>
          <w:spacing w:val="-5"/>
        </w:rPr>
        <w:t> </w:t>
      </w:r>
      <w:r>
        <w:rPr>
          <w:spacing w:val="-4"/>
        </w:rPr>
        <w:t>mobilizing capital, monitoring managers and imposing corporate control, and</w:t>
      </w:r>
      <w:r>
        <w:rPr>
          <w:spacing w:val="-5"/>
        </w:rPr>
        <w:t> </w:t>
      </w:r>
      <w:r>
        <w:rPr>
          <w:spacing w:val="-4"/>
        </w:rPr>
        <w:t>facilitating </w:t>
      </w:r>
      <w:r>
        <w:rPr/>
        <w:t>risk</w:t>
      </w:r>
      <w:r>
        <w:rPr>
          <w:spacing w:val="-3"/>
        </w:rPr>
        <w:t> </w:t>
      </w:r>
      <w:r>
        <w:rPr/>
        <w:t>pooling (Masoud, 2013). Stock market performance holds significant relevance for a wide range</w:t>
      </w:r>
      <w:r>
        <w:rPr>
          <w:spacing w:val="-3"/>
        </w:rPr>
        <w:t> </w:t>
      </w:r>
      <w:r>
        <w:rPr/>
        <w:t>of</w:t>
      </w:r>
      <w:r>
        <w:rPr>
          <w:spacing w:val="-4"/>
        </w:rPr>
        <w:t> </w:t>
      </w:r>
      <w:r>
        <w:rPr/>
        <w:t>stakeholders, including investors, policymakers and</w:t>
      </w:r>
      <w:r>
        <w:rPr>
          <w:spacing w:val="-5"/>
        </w:rPr>
        <w:t> </w:t>
      </w:r>
      <w:r>
        <w:rPr/>
        <w:t>the</w:t>
      </w:r>
      <w:r>
        <w:rPr>
          <w:spacing w:val="-3"/>
        </w:rPr>
        <w:t> </w:t>
      </w:r>
      <w:r>
        <w:rPr/>
        <w:t>government (Bose, Uddin,</w:t>
      </w:r>
      <w:r>
        <w:rPr>
          <w:spacing w:val="-15"/>
        </w:rPr>
        <w:t> </w:t>
      </w:r>
      <w:r>
        <w:rPr/>
        <w:t>&amp;</w:t>
      </w:r>
      <w:r>
        <w:rPr>
          <w:spacing w:val="-14"/>
        </w:rPr>
        <w:t> </w:t>
      </w:r>
      <w:r>
        <w:rPr/>
        <w:t>Islam,</w:t>
      </w:r>
      <w:r>
        <w:rPr>
          <w:spacing w:val="-15"/>
        </w:rPr>
        <w:t> </w:t>
      </w:r>
      <w:r>
        <w:rPr/>
        <w:t>2014).</w:t>
      </w:r>
      <w:r>
        <w:rPr>
          <w:spacing w:val="-14"/>
        </w:rPr>
        <w:t> </w:t>
      </w:r>
      <w:r>
        <w:rPr/>
        <w:t>Stock</w:t>
      </w:r>
      <w:r>
        <w:rPr>
          <w:spacing w:val="-14"/>
        </w:rPr>
        <w:t> </w:t>
      </w:r>
      <w:r>
        <w:rPr/>
        <w:t>return</w:t>
      </w:r>
      <w:r>
        <w:rPr>
          <w:spacing w:val="-15"/>
        </w:rPr>
        <w:t> </w:t>
      </w:r>
      <w:r>
        <w:rPr/>
        <w:t>acts</w:t>
      </w:r>
      <w:r>
        <w:rPr>
          <w:spacing w:val="-14"/>
        </w:rPr>
        <w:t> </w:t>
      </w:r>
      <w:r>
        <w:rPr/>
        <w:t>as</w:t>
      </w:r>
      <w:r>
        <w:rPr>
          <w:spacing w:val="-14"/>
        </w:rPr>
        <w:t> </w:t>
      </w:r>
      <w:r>
        <w:rPr/>
        <w:t>a</w:t>
      </w:r>
      <w:r>
        <w:rPr>
          <w:spacing w:val="-15"/>
        </w:rPr>
        <w:t> </w:t>
      </w:r>
      <w:r>
        <w:rPr/>
        <w:t>reward</w:t>
      </w:r>
      <w:r>
        <w:rPr>
          <w:spacing w:val="-14"/>
        </w:rPr>
        <w:t> </w:t>
      </w:r>
      <w:r>
        <w:rPr/>
        <w:t>for</w:t>
      </w:r>
      <w:r>
        <w:rPr>
          <w:spacing w:val="-15"/>
        </w:rPr>
        <w:t> </w:t>
      </w:r>
      <w:r>
        <w:rPr/>
        <w:t>investing</w:t>
      </w:r>
      <w:r>
        <w:rPr>
          <w:spacing w:val="-14"/>
        </w:rPr>
        <w:t> </w:t>
      </w:r>
      <w:r>
        <w:rPr/>
        <w:t>in</w:t>
      </w:r>
      <w:r>
        <w:rPr>
          <w:spacing w:val="-14"/>
        </w:rPr>
        <w:t> </w:t>
      </w:r>
      <w:r>
        <w:rPr/>
        <w:t>the</w:t>
      </w:r>
      <w:r>
        <w:rPr>
          <w:spacing w:val="-15"/>
        </w:rPr>
        <w:t> </w:t>
      </w:r>
      <w:r>
        <w:rPr/>
        <w:t>stock</w:t>
      </w:r>
      <w:r>
        <w:rPr>
          <w:spacing w:val="-14"/>
        </w:rPr>
        <w:t> </w:t>
      </w:r>
      <w:r>
        <w:rPr/>
        <w:t>market</w:t>
      </w:r>
      <w:r>
        <w:rPr>
          <w:spacing w:val="-14"/>
        </w:rPr>
        <w:t> </w:t>
      </w:r>
      <w:r>
        <w:rPr/>
        <w:t>and</w:t>
      </w:r>
      <w:r>
        <w:rPr>
          <w:spacing w:val="-15"/>
        </w:rPr>
        <w:t> </w:t>
      </w:r>
      <w:r>
        <w:rPr/>
        <w:t>is </w:t>
      </w:r>
      <w:r>
        <w:rPr>
          <w:spacing w:val="-2"/>
        </w:rPr>
        <w:t>shaped</w:t>
      </w:r>
      <w:r>
        <w:rPr>
          <w:spacing w:val="-13"/>
        </w:rPr>
        <w:t> </w:t>
      </w:r>
      <w:r>
        <w:rPr>
          <w:spacing w:val="-2"/>
        </w:rPr>
        <w:t>by</w:t>
      </w:r>
      <w:r>
        <w:rPr>
          <w:spacing w:val="-12"/>
        </w:rPr>
        <w:t> </w:t>
      </w:r>
      <w:r>
        <w:rPr>
          <w:spacing w:val="-2"/>
        </w:rPr>
        <w:t>firm-specific</w:t>
      </w:r>
      <w:r>
        <w:rPr>
          <w:spacing w:val="-13"/>
        </w:rPr>
        <w:t> </w:t>
      </w:r>
      <w:r>
        <w:rPr>
          <w:spacing w:val="-2"/>
        </w:rPr>
        <w:t>factors-</w:t>
      </w:r>
      <w:r>
        <w:rPr>
          <w:spacing w:val="-12"/>
        </w:rPr>
        <w:t> </w:t>
      </w:r>
      <w:r>
        <w:rPr>
          <w:spacing w:val="-2"/>
        </w:rPr>
        <w:t>such</w:t>
      </w:r>
      <w:r>
        <w:rPr>
          <w:spacing w:val="-12"/>
        </w:rPr>
        <w:t> </w:t>
      </w:r>
      <w:r>
        <w:rPr>
          <w:spacing w:val="-2"/>
        </w:rPr>
        <w:t>as</w:t>
      </w:r>
      <w:r>
        <w:rPr>
          <w:spacing w:val="-13"/>
        </w:rPr>
        <w:t> </w:t>
      </w:r>
      <w:r>
        <w:rPr>
          <w:spacing w:val="-2"/>
        </w:rPr>
        <w:t>size,</w:t>
      </w:r>
      <w:r>
        <w:rPr>
          <w:spacing w:val="-12"/>
        </w:rPr>
        <w:t> </w:t>
      </w:r>
      <w:r>
        <w:rPr>
          <w:spacing w:val="-2"/>
        </w:rPr>
        <w:t>leverage,</w:t>
      </w:r>
      <w:r>
        <w:rPr>
          <w:spacing w:val="-12"/>
        </w:rPr>
        <w:t> </w:t>
      </w:r>
      <w:r>
        <w:rPr>
          <w:spacing w:val="-2"/>
        </w:rPr>
        <w:t>earnings,</w:t>
      </w:r>
      <w:r>
        <w:rPr>
          <w:spacing w:val="-13"/>
        </w:rPr>
        <w:t> </w:t>
      </w:r>
      <w:r>
        <w:rPr>
          <w:spacing w:val="-2"/>
        </w:rPr>
        <w:t>dividend</w:t>
      </w:r>
      <w:r>
        <w:rPr>
          <w:spacing w:val="-12"/>
        </w:rPr>
        <w:t> </w:t>
      </w:r>
      <w:r>
        <w:rPr>
          <w:spacing w:val="-2"/>
        </w:rPr>
        <w:t>payment,</w:t>
      </w:r>
      <w:r>
        <w:rPr>
          <w:spacing w:val="-13"/>
        </w:rPr>
        <w:t> </w:t>
      </w:r>
      <w:r>
        <w:rPr>
          <w:spacing w:val="-2"/>
        </w:rPr>
        <w:t>return</w:t>
      </w:r>
      <w:r>
        <w:rPr>
          <w:spacing w:val="-12"/>
        </w:rPr>
        <w:t> </w:t>
      </w:r>
      <w:r>
        <w:rPr>
          <w:spacing w:val="-2"/>
        </w:rPr>
        <w:t>on </w:t>
      </w:r>
      <w:r>
        <w:rPr/>
        <w:t>asset,</w:t>
      </w:r>
      <w:r>
        <w:rPr>
          <w:spacing w:val="80"/>
        </w:rPr>
        <w:t> </w:t>
      </w:r>
      <w:r>
        <w:rPr/>
        <w:t>return</w:t>
      </w:r>
      <w:r>
        <w:rPr>
          <w:spacing w:val="80"/>
        </w:rPr>
        <w:t> </w:t>
      </w:r>
      <w:r>
        <w:rPr/>
        <w:t>on</w:t>
      </w:r>
      <w:r>
        <w:rPr>
          <w:spacing w:val="80"/>
        </w:rPr>
        <w:t> </w:t>
      </w:r>
      <w:r>
        <w:rPr/>
        <w:t>equity,</w:t>
      </w:r>
      <w:r>
        <w:rPr>
          <w:spacing w:val="80"/>
        </w:rPr>
        <w:t> </w:t>
      </w:r>
      <w:r>
        <w:rPr/>
        <w:t>change</w:t>
      </w:r>
      <w:r>
        <w:rPr>
          <w:spacing w:val="80"/>
        </w:rPr>
        <w:t> </w:t>
      </w:r>
      <w:r>
        <w:rPr/>
        <w:t>in</w:t>
      </w:r>
      <w:r>
        <w:rPr>
          <w:spacing w:val="80"/>
        </w:rPr>
        <w:t> </w:t>
      </w:r>
      <w:r>
        <w:rPr/>
        <w:t>management,</w:t>
      </w:r>
      <w:r>
        <w:rPr>
          <w:spacing w:val="74"/>
          <w:w w:val="150"/>
        </w:rPr>
        <w:t> </w:t>
      </w:r>
      <w:r>
        <w:rPr/>
        <w:t>announcement</w:t>
      </w:r>
      <w:r>
        <w:rPr>
          <w:spacing w:val="75"/>
          <w:w w:val="150"/>
        </w:rPr>
        <w:t> </w:t>
      </w:r>
      <w:r>
        <w:rPr/>
        <w:t>of</w:t>
      </w:r>
      <w:r>
        <w:rPr>
          <w:spacing w:val="80"/>
        </w:rPr>
        <w:t> </w:t>
      </w:r>
      <w:r>
        <w:rPr/>
        <w:t>dividends</w:t>
      </w:r>
      <w:r>
        <w:rPr>
          <w:spacing w:val="80"/>
        </w:rPr>
        <w:t> </w:t>
      </w:r>
      <w:r>
        <w:rPr/>
        <w:t>and</w:t>
      </w:r>
    </w:p>
    <w:p>
      <w:pPr>
        <w:spacing w:before="246"/>
        <w:ind w:left="179" w:right="0" w:firstLine="0"/>
        <w:jc w:val="both"/>
        <w:rPr>
          <w:sz w:val="18"/>
        </w:rPr>
      </w:pPr>
      <w:r>
        <w:rPr>
          <w:sz w:val="18"/>
        </w:rPr>
        <w:t>*</w:t>
      </w:r>
      <w:r>
        <w:rPr>
          <w:spacing w:val="77"/>
          <w:sz w:val="18"/>
        </w:rPr>
        <w:t>  </w:t>
      </w:r>
      <w:r>
        <w:rPr>
          <w:sz w:val="18"/>
        </w:rPr>
        <w:t>Independent</w:t>
      </w:r>
      <w:r>
        <w:rPr>
          <w:spacing w:val="10"/>
          <w:sz w:val="18"/>
        </w:rPr>
        <w:t> </w:t>
      </w:r>
      <w:r>
        <w:rPr>
          <w:spacing w:val="-2"/>
          <w:sz w:val="18"/>
        </w:rPr>
        <w:t>researcher</w:t>
      </w:r>
    </w:p>
    <w:p>
      <w:pPr>
        <w:spacing w:before="37"/>
        <w:ind w:left="179" w:right="0" w:firstLine="0"/>
        <w:jc w:val="both"/>
        <w:rPr>
          <w:sz w:val="18"/>
        </w:rPr>
      </w:pPr>
      <w:r>
        <w:rPr>
          <w:sz w:val="18"/>
        </w:rPr>
        <w:t>**</w:t>
      </w:r>
      <w:r>
        <w:rPr>
          <w:spacing w:val="33"/>
          <w:sz w:val="18"/>
        </w:rPr>
        <w:t>  </w:t>
      </w:r>
      <w:r>
        <w:rPr>
          <w:sz w:val="18"/>
        </w:rPr>
        <w:t>Associate</w:t>
      </w:r>
      <w:r>
        <w:rPr>
          <w:spacing w:val="-2"/>
          <w:sz w:val="18"/>
        </w:rPr>
        <w:t> </w:t>
      </w:r>
      <w:r>
        <w:rPr>
          <w:sz w:val="18"/>
        </w:rPr>
        <w:t>Professor,</w:t>
      </w:r>
      <w:r>
        <w:rPr>
          <w:spacing w:val="6"/>
          <w:sz w:val="18"/>
        </w:rPr>
        <w:t> </w:t>
      </w:r>
      <w:r>
        <w:rPr>
          <w:sz w:val="18"/>
        </w:rPr>
        <w:t>Department</w:t>
      </w:r>
      <w:r>
        <w:rPr>
          <w:spacing w:val="5"/>
          <w:sz w:val="18"/>
        </w:rPr>
        <w:t> </w:t>
      </w:r>
      <w:r>
        <w:rPr>
          <w:sz w:val="18"/>
        </w:rPr>
        <w:t>of</w:t>
      </w:r>
      <w:r>
        <w:rPr>
          <w:spacing w:val="-5"/>
          <w:sz w:val="18"/>
        </w:rPr>
        <w:t> </w:t>
      </w:r>
      <w:r>
        <w:rPr>
          <w:sz w:val="18"/>
        </w:rPr>
        <w:t>Finance and</w:t>
      </w:r>
      <w:r>
        <w:rPr>
          <w:spacing w:val="-5"/>
          <w:sz w:val="18"/>
        </w:rPr>
        <w:t> </w:t>
      </w:r>
      <w:r>
        <w:rPr>
          <w:sz w:val="18"/>
        </w:rPr>
        <w:t>Banking,</w:t>
      </w:r>
      <w:r>
        <w:rPr>
          <w:spacing w:val="1"/>
          <w:sz w:val="18"/>
        </w:rPr>
        <w:t> </w:t>
      </w:r>
      <w:r>
        <w:rPr>
          <w:sz w:val="18"/>
        </w:rPr>
        <w:t>University</w:t>
      </w:r>
      <w:r>
        <w:rPr>
          <w:spacing w:val="3"/>
          <w:sz w:val="18"/>
        </w:rPr>
        <w:t> </w:t>
      </w:r>
      <w:r>
        <w:rPr>
          <w:sz w:val="18"/>
        </w:rPr>
        <w:t>of</w:t>
      </w:r>
      <w:r>
        <w:rPr>
          <w:spacing w:val="-9"/>
          <w:sz w:val="18"/>
        </w:rPr>
        <w:t> </w:t>
      </w:r>
      <w:r>
        <w:rPr>
          <w:sz w:val="18"/>
        </w:rPr>
        <w:t>Barishal,</w:t>
      </w:r>
      <w:r>
        <w:rPr>
          <w:spacing w:val="4"/>
          <w:sz w:val="18"/>
        </w:rPr>
        <w:t> </w:t>
      </w:r>
      <w:r>
        <w:rPr>
          <w:sz w:val="18"/>
        </w:rPr>
        <w:t>Barishal,</w:t>
      </w:r>
      <w:r>
        <w:rPr>
          <w:spacing w:val="2"/>
          <w:sz w:val="18"/>
        </w:rPr>
        <w:t> </w:t>
      </w:r>
      <w:r>
        <w:rPr>
          <w:spacing w:val="-2"/>
          <w:sz w:val="18"/>
        </w:rPr>
        <w:t>Bangladesh</w:t>
      </w:r>
    </w:p>
    <w:p>
      <w:pPr>
        <w:pStyle w:val="BodyText"/>
        <w:rPr>
          <w:sz w:val="18"/>
        </w:rPr>
      </w:pPr>
    </w:p>
    <w:p>
      <w:pPr>
        <w:pStyle w:val="BodyText"/>
        <w:spacing w:before="90"/>
        <w:rPr>
          <w:sz w:val="18"/>
        </w:rPr>
      </w:pPr>
    </w:p>
    <w:p>
      <w:pPr>
        <w:spacing w:before="0"/>
        <w:ind w:left="1371" w:right="1360" w:firstLine="0"/>
        <w:jc w:val="center"/>
        <w:rPr>
          <w:sz w:val="18"/>
        </w:rPr>
      </w:pPr>
      <w:r>
        <w:rPr>
          <w:color w:val="1F1F1F"/>
          <w:spacing w:val="-5"/>
          <w:sz w:val="18"/>
        </w:rPr>
        <w:t>41</w:t>
      </w:r>
    </w:p>
    <w:p>
      <w:pPr>
        <w:spacing w:after="0"/>
        <w:jc w:val="center"/>
        <w:rPr>
          <w:sz w:val="18"/>
        </w:rPr>
        <w:sectPr>
          <w:type w:val="continuous"/>
          <w:pgSz w:w="11520" w:h="15120"/>
          <w:pgMar w:top="1680" w:bottom="280" w:left="1440" w:right="1440"/>
          <w:pgBorders w:offsetFrom="page">
            <w:top w:val="single" w:color="E6E7E8" w:space="27" w:sz="2"/>
            <w:left w:val="single" w:color="E6E7E8" w:space="27" w:sz="2"/>
            <w:bottom w:val="single" w:color="E6E7E8" w:space="27" w:sz="2"/>
            <w:right w:val="single" w:color="E6E7E8" w:space="27" w:sz="2"/>
          </w:pgBorders>
        </w:sectPr>
      </w:pPr>
    </w:p>
    <w:p>
      <w:pPr>
        <w:spacing w:before="70"/>
        <w:ind w:left="0" w:right="5" w:firstLine="0"/>
        <w:jc w:val="center"/>
        <w:rPr>
          <w:i/>
          <w:sz w:val="18"/>
        </w:rPr>
      </w:pPr>
      <w:bookmarkStart w:name="Page 42" w:id="16"/>
      <w:bookmarkEnd w:id="16"/>
      <w:r>
        <w:rPr/>
      </w:r>
      <w:r>
        <w:rPr>
          <w:i/>
          <w:color w:val="1F1F1F"/>
          <w:sz w:val="18"/>
        </w:rPr>
        <w:t>Farhana</w:t>
      </w:r>
      <w:r>
        <w:rPr>
          <w:i/>
          <w:color w:val="1F1F1F"/>
          <w:spacing w:val="3"/>
          <w:sz w:val="18"/>
        </w:rPr>
        <w:t> </w:t>
      </w:r>
      <w:r>
        <w:rPr>
          <w:i/>
          <w:color w:val="1F1F1F"/>
          <w:sz w:val="18"/>
        </w:rPr>
        <w:t>&amp;</w:t>
      </w:r>
      <w:r>
        <w:rPr>
          <w:i/>
          <w:color w:val="1F1F1F"/>
          <w:spacing w:val="-5"/>
          <w:sz w:val="18"/>
        </w:rPr>
        <w:t> </w:t>
      </w:r>
      <w:r>
        <w:rPr>
          <w:i/>
          <w:color w:val="1F1F1F"/>
          <w:sz w:val="18"/>
        </w:rPr>
        <w:t>Tandra/Comilla</w:t>
      </w:r>
      <w:r>
        <w:rPr>
          <w:i/>
          <w:color w:val="1F1F1F"/>
          <w:spacing w:val="-10"/>
          <w:sz w:val="18"/>
        </w:rPr>
        <w:t> </w:t>
      </w:r>
      <w:r>
        <w:rPr>
          <w:i/>
          <w:color w:val="1F1F1F"/>
          <w:sz w:val="18"/>
        </w:rPr>
        <w:t>University</w:t>
      </w:r>
      <w:r>
        <w:rPr>
          <w:i/>
          <w:color w:val="1F1F1F"/>
          <w:spacing w:val="2"/>
          <w:sz w:val="18"/>
        </w:rPr>
        <w:t> </w:t>
      </w:r>
      <w:r>
        <w:rPr>
          <w:i/>
          <w:color w:val="1F1F1F"/>
          <w:sz w:val="18"/>
        </w:rPr>
        <w:t>Journal</w:t>
      </w:r>
      <w:r>
        <w:rPr>
          <w:i/>
          <w:color w:val="1F1F1F"/>
          <w:spacing w:val="3"/>
          <w:sz w:val="18"/>
        </w:rPr>
        <w:t> </w:t>
      </w:r>
      <w:r>
        <w:rPr>
          <w:i/>
          <w:color w:val="1F1F1F"/>
          <w:sz w:val="18"/>
        </w:rPr>
        <w:t>ofBusiness</w:t>
      </w:r>
      <w:r>
        <w:rPr>
          <w:i/>
          <w:color w:val="1F1F1F"/>
          <w:spacing w:val="5"/>
          <w:sz w:val="18"/>
        </w:rPr>
        <w:t> </w:t>
      </w:r>
      <w:r>
        <w:rPr>
          <w:i/>
          <w:color w:val="1F1F1F"/>
          <w:sz w:val="18"/>
        </w:rPr>
        <w:t>Studies</w:t>
      </w:r>
      <w:r>
        <w:rPr>
          <w:i/>
          <w:color w:val="1F1F1F"/>
          <w:spacing w:val="44"/>
          <w:sz w:val="18"/>
        </w:rPr>
        <w:t> </w:t>
      </w:r>
      <w:r>
        <w:rPr>
          <w:i/>
          <w:color w:val="1F1F1F"/>
          <w:sz w:val="18"/>
        </w:rPr>
        <w:t>10</w:t>
      </w:r>
      <w:r>
        <w:rPr>
          <w:i/>
          <w:color w:val="1F1F1F"/>
          <w:spacing w:val="-7"/>
          <w:sz w:val="18"/>
        </w:rPr>
        <w:t> </w:t>
      </w:r>
      <w:r>
        <w:rPr>
          <w:i/>
          <w:color w:val="1F1F1F"/>
          <w:sz w:val="18"/>
        </w:rPr>
        <w:t>(2023)</w:t>
      </w:r>
      <w:r>
        <w:rPr>
          <w:i/>
          <w:color w:val="1F1F1F"/>
          <w:spacing w:val="-1"/>
          <w:sz w:val="18"/>
        </w:rPr>
        <w:t> </w:t>
      </w:r>
      <w:r>
        <w:rPr>
          <w:i/>
          <w:color w:val="1F1F1F"/>
          <w:sz w:val="18"/>
        </w:rPr>
        <w:t>41-</w:t>
      </w:r>
      <w:r>
        <w:rPr>
          <w:i/>
          <w:color w:val="1F1F1F"/>
          <w:spacing w:val="-5"/>
          <w:sz w:val="18"/>
        </w:rPr>
        <w:t>56</w:t>
      </w:r>
    </w:p>
    <w:p>
      <w:pPr>
        <w:pStyle w:val="BodyText"/>
        <w:spacing w:before="134"/>
        <w:rPr>
          <w:i/>
          <w:sz w:val="18"/>
        </w:rPr>
      </w:pPr>
    </w:p>
    <w:p>
      <w:pPr>
        <w:pStyle w:val="BodyText"/>
        <w:spacing w:line="276" w:lineRule="auto" w:before="1"/>
        <w:ind w:left="177" w:right="194" w:firstLine="2"/>
        <w:jc w:val="both"/>
      </w:pPr>
      <w:r>
        <w:rPr>
          <w:spacing w:val="-2"/>
        </w:rPr>
        <w:t>mcroeconomic</w:t>
      </w:r>
      <w:r>
        <w:rPr>
          <w:spacing w:val="-12"/>
        </w:rPr>
        <w:t> </w:t>
      </w:r>
      <w:r>
        <w:rPr>
          <w:spacing w:val="-2"/>
        </w:rPr>
        <w:t>factors,</w:t>
      </w:r>
      <w:r>
        <w:rPr>
          <w:spacing w:val="-11"/>
        </w:rPr>
        <w:t> </w:t>
      </w:r>
      <w:r>
        <w:rPr>
          <w:spacing w:val="-2"/>
        </w:rPr>
        <w:t>including</w:t>
      </w:r>
      <w:r>
        <w:rPr>
          <w:spacing w:val="-8"/>
        </w:rPr>
        <w:t> </w:t>
      </w:r>
      <w:r>
        <w:rPr>
          <w:spacing w:val="-2"/>
        </w:rPr>
        <w:t>interest</w:t>
      </w:r>
      <w:r>
        <w:rPr>
          <w:spacing w:val="-7"/>
        </w:rPr>
        <w:t> </w:t>
      </w:r>
      <w:r>
        <w:rPr>
          <w:spacing w:val="-2"/>
        </w:rPr>
        <w:t>rate,</w:t>
      </w:r>
      <w:r>
        <w:rPr>
          <w:spacing w:val="-13"/>
        </w:rPr>
        <w:t> </w:t>
      </w:r>
      <w:r>
        <w:rPr>
          <w:spacing w:val="-2"/>
        </w:rPr>
        <w:t>inflation,</w:t>
      </w:r>
      <w:r>
        <w:rPr>
          <w:spacing w:val="-12"/>
        </w:rPr>
        <w:t> </w:t>
      </w:r>
      <w:r>
        <w:rPr>
          <w:spacing w:val="-2"/>
        </w:rPr>
        <w:t>exchange</w:t>
      </w:r>
      <w:r>
        <w:rPr>
          <w:spacing w:val="-8"/>
        </w:rPr>
        <w:t> </w:t>
      </w:r>
      <w:r>
        <w:rPr>
          <w:spacing w:val="-2"/>
        </w:rPr>
        <w:t>rate,</w:t>
      </w:r>
      <w:r>
        <w:rPr>
          <w:spacing w:val="-13"/>
        </w:rPr>
        <w:t> </w:t>
      </w:r>
      <w:r>
        <w:rPr>
          <w:spacing w:val="-2"/>
        </w:rPr>
        <w:t>money</w:t>
      </w:r>
      <w:r>
        <w:rPr>
          <w:spacing w:val="-12"/>
        </w:rPr>
        <w:t> </w:t>
      </w:r>
      <w:r>
        <w:rPr>
          <w:spacing w:val="-2"/>
        </w:rPr>
        <w:t>supply,</w:t>
      </w:r>
      <w:r>
        <w:rPr>
          <w:spacing w:val="-12"/>
        </w:rPr>
        <w:t> </w:t>
      </w:r>
      <w:r>
        <w:rPr>
          <w:spacing w:val="-2"/>
        </w:rPr>
        <w:t>GDP, </w:t>
      </w:r>
      <w:r>
        <w:rPr/>
        <w:t>GNP, GNI, foreign exchange reserve, foreign remittance, exports, imports, etc. Several </w:t>
      </w:r>
      <w:r>
        <w:rPr>
          <w:spacing w:val="-4"/>
        </w:rPr>
        <w:t>theoretical frameworks have</w:t>
      </w:r>
      <w:r>
        <w:rPr>
          <w:spacing w:val="-7"/>
        </w:rPr>
        <w:t> </w:t>
      </w:r>
      <w:r>
        <w:rPr>
          <w:spacing w:val="-4"/>
        </w:rPr>
        <w:t>been</w:t>
      </w:r>
      <w:r>
        <w:rPr>
          <w:spacing w:val="-8"/>
        </w:rPr>
        <w:t> </w:t>
      </w:r>
      <w:r>
        <w:rPr>
          <w:spacing w:val="-4"/>
        </w:rPr>
        <w:t>developed to</w:t>
      </w:r>
      <w:r>
        <w:rPr>
          <w:spacing w:val="-11"/>
        </w:rPr>
        <w:t> </w:t>
      </w:r>
      <w:r>
        <w:rPr>
          <w:spacing w:val="-4"/>
        </w:rPr>
        <w:t>elucidate</w:t>
      </w:r>
      <w:r>
        <w:rPr>
          <w:spacing w:val="-5"/>
        </w:rPr>
        <w:t> </w:t>
      </w:r>
      <w:r>
        <w:rPr>
          <w:spacing w:val="-4"/>
        </w:rPr>
        <w:t>the</w:t>
      </w:r>
      <w:r>
        <w:rPr>
          <w:spacing w:val="-11"/>
        </w:rPr>
        <w:t> </w:t>
      </w:r>
      <w:r>
        <w:rPr>
          <w:spacing w:val="-4"/>
        </w:rPr>
        <w:t>nexus between thèse</w:t>
      </w:r>
      <w:r>
        <w:rPr>
          <w:spacing w:val="-8"/>
        </w:rPr>
        <w:t> </w:t>
      </w:r>
      <w:r>
        <w:rPr>
          <w:spacing w:val="-4"/>
        </w:rPr>
        <w:t>factors and </w:t>
      </w:r>
      <w:r>
        <w:rPr/>
        <w:t>stock returns. The most popular theories are Capital Asset Pricing Model (CAPM) and Arbitrage Pricing Theory (APT). The limitations of CAPM in real-world scenarios have paved</w:t>
      </w:r>
      <w:r>
        <w:rPr>
          <w:spacing w:val="-2"/>
        </w:rPr>
        <w:t> </w:t>
      </w:r>
      <w:r>
        <w:rPr/>
        <w:t>the</w:t>
      </w:r>
      <w:r>
        <w:rPr>
          <w:spacing w:val="-9"/>
        </w:rPr>
        <w:t> </w:t>
      </w:r>
      <w:r>
        <w:rPr/>
        <w:t>way</w:t>
      </w:r>
      <w:r>
        <w:rPr>
          <w:spacing w:val="-9"/>
        </w:rPr>
        <w:t> </w:t>
      </w:r>
      <w:r>
        <w:rPr/>
        <w:t>for</w:t>
      </w:r>
      <w:r>
        <w:rPr>
          <w:spacing w:val="-9"/>
        </w:rPr>
        <w:t> </w:t>
      </w:r>
      <w:r>
        <w:rPr/>
        <w:t>APT</w:t>
      </w:r>
      <w:r>
        <w:rPr>
          <w:spacing w:val="-7"/>
        </w:rPr>
        <w:t> </w:t>
      </w:r>
      <w:r>
        <w:rPr/>
        <w:t>(Oyetayo</w:t>
      </w:r>
      <w:r>
        <w:rPr>
          <w:spacing w:val="-3"/>
        </w:rPr>
        <w:t> </w:t>
      </w:r>
      <w:r>
        <w:rPr/>
        <w:t>&amp;</w:t>
      </w:r>
      <w:r>
        <w:rPr>
          <w:spacing w:val="-9"/>
        </w:rPr>
        <w:t> </w:t>
      </w:r>
      <w:r>
        <w:rPr/>
        <w:t>Olufemi,</w:t>
      </w:r>
      <w:r>
        <w:rPr>
          <w:spacing w:val="-4"/>
        </w:rPr>
        <w:t> </w:t>
      </w:r>
      <w:r>
        <w:rPr/>
        <w:t>2017).</w:t>
      </w:r>
      <w:r>
        <w:rPr>
          <w:spacing w:val="-5"/>
        </w:rPr>
        <w:t> </w:t>
      </w:r>
      <w:r>
        <w:rPr/>
        <w:t>APT</w:t>
      </w:r>
      <w:r>
        <w:rPr>
          <w:spacing w:val="-5"/>
        </w:rPr>
        <w:t> </w:t>
      </w:r>
      <w:r>
        <w:rPr/>
        <w:t>is</w:t>
      </w:r>
      <w:r>
        <w:rPr>
          <w:spacing w:val="-12"/>
        </w:rPr>
        <w:t> </w:t>
      </w:r>
      <w:r>
        <w:rPr/>
        <w:t>very</w:t>
      </w:r>
      <w:r>
        <w:rPr>
          <w:spacing w:val="-7"/>
        </w:rPr>
        <w:t> </w:t>
      </w:r>
      <w:r>
        <w:rPr/>
        <w:t>relevant</w:t>
      </w:r>
      <w:r>
        <w:rPr>
          <w:spacing w:val="-2"/>
        </w:rPr>
        <w:t> </w:t>
      </w:r>
      <w:r>
        <w:rPr/>
        <w:t>in</w:t>
      </w:r>
      <w:r>
        <w:rPr>
          <w:spacing w:val="-11"/>
        </w:rPr>
        <w:t> </w:t>
      </w:r>
      <w:r>
        <w:rPr/>
        <w:t>the</w:t>
      </w:r>
      <w:r>
        <w:rPr>
          <w:spacing w:val="-8"/>
        </w:rPr>
        <w:t> </w:t>
      </w:r>
      <w:r>
        <w:rPr/>
        <w:t>pricing</w:t>
      </w:r>
      <w:r>
        <w:rPr>
          <w:spacing w:val="-7"/>
        </w:rPr>
        <w:t> </w:t>
      </w:r>
      <w:r>
        <w:rPr/>
        <w:t>of </w:t>
      </w:r>
      <w:r>
        <w:rPr>
          <w:spacing w:val="-2"/>
        </w:rPr>
        <w:t>stock</w:t>
      </w:r>
      <w:r>
        <w:rPr>
          <w:spacing w:val="-5"/>
        </w:rPr>
        <w:t> </w:t>
      </w:r>
      <w:r>
        <w:rPr>
          <w:spacing w:val="-2"/>
        </w:rPr>
        <w:t>returns</w:t>
      </w:r>
      <w:r>
        <w:rPr>
          <w:spacing w:val="-5"/>
        </w:rPr>
        <w:t> </w:t>
      </w:r>
      <w:r>
        <w:rPr>
          <w:spacing w:val="-2"/>
        </w:rPr>
        <w:t>which</w:t>
      </w:r>
      <w:r>
        <w:rPr>
          <w:spacing w:val="-6"/>
        </w:rPr>
        <w:t> </w:t>
      </w:r>
      <w:r>
        <w:rPr>
          <w:spacing w:val="-2"/>
        </w:rPr>
        <w:t>states</w:t>
      </w:r>
      <w:r>
        <w:rPr>
          <w:spacing w:val="-9"/>
        </w:rPr>
        <w:t> </w:t>
      </w:r>
      <w:r>
        <w:rPr>
          <w:spacing w:val="-2"/>
        </w:rPr>
        <w:t>that</w:t>
      </w:r>
      <w:r>
        <w:rPr>
          <w:spacing w:val="-9"/>
        </w:rPr>
        <w:t> </w:t>
      </w:r>
      <w:r>
        <w:rPr>
          <w:spacing w:val="-2"/>
        </w:rPr>
        <w:t>a</w:t>
      </w:r>
      <w:r>
        <w:rPr>
          <w:spacing w:val="-13"/>
        </w:rPr>
        <w:t> </w:t>
      </w:r>
      <w:r>
        <w:rPr>
          <w:spacing w:val="-2"/>
        </w:rPr>
        <w:t>financial asset's</w:t>
      </w:r>
      <w:r>
        <w:rPr>
          <w:spacing w:val="-7"/>
        </w:rPr>
        <w:t> </w:t>
      </w:r>
      <w:r>
        <w:rPr>
          <w:spacing w:val="-2"/>
        </w:rPr>
        <w:t>expected</w:t>
      </w:r>
      <w:r>
        <w:rPr>
          <w:spacing w:val="-3"/>
        </w:rPr>
        <w:t> </w:t>
      </w:r>
      <w:r>
        <w:rPr>
          <w:spacing w:val="-2"/>
        </w:rPr>
        <w:t>return</w:t>
      </w:r>
      <w:r>
        <w:rPr>
          <w:spacing w:val="-4"/>
        </w:rPr>
        <w:t> </w:t>
      </w:r>
      <w:r>
        <w:rPr>
          <w:spacing w:val="-2"/>
        </w:rPr>
        <w:t>can</w:t>
      </w:r>
      <w:r>
        <w:rPr>
          <w:spacing w:val="-11"/>
        </w:rPr>
        <w:t> </w:t>
      </w:r>
      <w:r>
        <w:rPr>
          <w:spacing w:val="-2"/>
        </w:rPr>
        <w:t>be</w:t>
      </w:r>
      <w:r>
        <w:rPr>
          <w:spacing w:val="-12"/>
        </w:rPr>
        <w:t> </w:t>
      </w:r>
      <w:r>
        <w:rPr>
          <w:spacing w:val="-2"/>
        </w:rPr>
        <w:t>modeled in</w:t>
      </w:r>
      <w:r>
        <w:rPr>
          <w:spacing w:val="-12"/>
        </w:rPr>
        <w:t> </w:t>
      </w:r>
      <w:r>
        <w:rPr>
          <w:spacing w:val="-2"/>
        </w:rPr>
        <w:t>the</w:t>
      </w:r>
      <w:r>
        <w:rPr>
          <w:spacing w:val="-12"/>
        </w:rPr>
        <w:t> </w:t>
      </w:r>
      <w:r>
        <w:rPr>
          <w:spacing w:val="-2"/>
        </w:rPr>
        <w:t>form of</w:t>
      </w:r>
      <w:r>
        <w:rPr>
          <w:spacing w:val="-13"/>
        </w:rPr>
        <w:t> </w:t>
      </w:r>
      <w:r>
        <w:rPr>
          <w:spacing w:val="-2"/>
        </w:rPr>
        <w:t>linear</w:t>
      </w:r>
      <w:r>
        <w:rPr>
          <w:spacing w:val="-12"/>
        </w:rPr>
        <w:t> </w:t>
      </w:r>
      <w:r>
        <w:rPr>
          <w:spacing w:val="-2"/>
        </w:rPr>
        <w:t>function</w:t>
      </w:r>
      <w:r>
        <w:rPr>
          <w:spacing w:val="-13"/>
        </w:rPr>
        <w:t> </w:t>
      </w:r>
      <w:r>
        <w:rPr>
          <w:spacing w:val="-2"/>
        </w:rPr>
        <w:t>of</w:t>
      </w:r>
      <w:r>
        <w:rPr>
          <w:spacing w:val="-12"/>
        </w:rPr>
        <w:t> </w:t>
      </w:r>
      <w:r>
        <w:rPr>
          <w:spacing w:val="-2"/>
        </w:rPr>
        <w:t>various</w:t>
      </w:r>
      <w:r>
        <w:rPr>
          <w:spacing w:val="-7"/>
        </w:rPr>
        <w:t> </w:t>
      </w:r>
      <w:r>
        <w:rPr>
          <w:spacing w:val="-2"/>
        </w:rPr>
        <w:t>macroeconomic</w:t>
      </w:r>
      <w:r>
        <w:rPr/>
        <w:t> </w:t>
      </w:r>
      <w:r>
        <w:rPr>
          <w:spacing w:val="-2"/>
        </w:rPr>
        <w:t>factors</w:t>
      </w:r>
      <w:r>
        <w:rPr>
          <w:spacing w:val="-11"/>
        </w:rPr>
        <w:t> </w:t>
      </w:r>
      <w:r>
        <w:rPr>
          <w:spacing w:val="-2"/>
        </w:rPr>
        <w:t>affecting</w:t>
      </w:r>
      <w:r>
        <w:rPr>
          <w:spacing w:val="-7"/>
        </w:rPr>
        <w:t> </w:t>
      </w:r>
      <w:r>
        <w:rPr>
          <w:spacing w:val="-2"/>
        </w:rPr>
        <w:t>the</w:t>
      </w:r>
      <w:r>
        <w:rPr>
          <w:spacing w:val="-13"/>
        </w:rPr>
        <w:t> </w:t>
      </w:r>
      <w:r>
        <w:rPr>
          <w:spacing w:val="-2"/>
        </w:rPr>
        <w:t>stock</w:t>
      </w:r>
      <w:r>
        <w:rPr>
          <w:spacing w:val="-10"/>
        </w:rPr>
        <w:t> </w:t>
      </w:r>
      <w:r>
        <w:rPr>
          <w:spacing w:val="-2"/>
        </w:rPr>
        <w:t>price</w:t>
      </w:r>
      <w:r>
        <w:rPr>
          <w:spacing w:val="-10"/>
        </w:rPr>
        <w:t> </w:t>
      </w:r>
      <w:r>
        <w:rPr>
          <w:spacing w:val="-2"/>
        </w:rPr>
        <w:t>where</w:t>
      </w:r>
      <w:r>
        <w:rPr>
          <w:spacing w:val="-10"/>
        </w:rPr>
        <w:t> </w:t>
      </w:r>
      <w:r>
        <w:rPr>
          <w:spacing w:val="-2"/>
        </w:rPr>
        <w:t>a</w:t>
      </w:r>
      <w:r>
        <w:rPr>
          <w:spacing w:val="-13"/>
        </w:rPr>
        <w:t> </w:t>
      </w:r>
      <w:r>
        <w:rPr>
          <w:spacing w:val="-2"/>
        </w:rPr>
        <w:t>factor-</w:t>
      </w:r>
      <w:r>
        <w:rPr>
          <w:spacing w:val="-4"/>
        </w:rPr>
        <w:t>specific beta</w:t>
      </w:r>
      <w:r>
        <w:rPr>
          <w:spacing w:val="-11"/>
        </w:rPr>
        <w:t> </w:t>
      </w:r>
      <w:r>
        <w:rPr>
          <w:spacing w:val="-4"/>
        </w:rPr>
        <w:t>coefficient</w:t>
      </w:r>
      <w:r>
        <w:rPr/>
        <w:t> </w:t>
      </w:r>
      <w:r>
        <w:rPr>
          <w:spacing w:val="-4"/>
        </w:rPr>
        <w:t>represents</w:t>
      </w:r>
      <w:r>
        <w:rPr/>
        <w:t> </w:t>
      </w:r>
      <w:r>
        <w:rPr>
          <w:spacing w:val="-4"/>
        </w:rPr>
        <w:t>the</w:t>
      </w:r>
      <w:r>
        <w:rPr>
          <w:spacing w:val="-7"/>
        </w:rPr>
        <w:t> </w:t>
      </w:r>
      <w:r>
        <w:rPr>
          <w:spacing w:val="-4"/>
        </w:rPr>
        <w:t>sensitivity</w:t>
      </w:r>
      <w:r>
        <w:rPr/>
        <w:t> </w:t>
      </w:r>
      <w:r>
        <w:rPr>
          <w:spacing w:val="-4"/>
        </w:rPr>
        <w:t>to</w:t>
      </w:r>
      <w:r>
        <w:rPr>
          <w:spacing w:val="-7"/>
        </w:rPr>
        <w:t> </w:t>
      </w:r>
      <w:r>
        <w:rPr>
          <w:spacing w:val="-4"/>
        </w:rPr>
        <w:t>changes in</w:t>
      </w:r>
      <w:r>
        <w:rPr>
          <w:spacing w:val="-10"/>
        </w:rPr>
        <w:t> </w:t>
      </w:r>
      <w:r>
        <w:rPr>
          <w:spacing w:val="-4"/>
        </w:rPr>
        <w:t>each</w:t>
      </w:r>
      <w:r>
        <w:rPr>
          <w:spacing w:val="-7"/>
        </w:rPr>
        <w:t> </w:t>
      </w:r>
      <w:r>
        <w:rPr>
          <w:spacing w:val="-4"/>
        </w:rPr>
        <w:t>factor. The</w:t>
      </w:r>
      <w:r>
        <w:rPr>
          <w:spacing w:val="-9"/>
        </w:rPr>
        <w:t> </w:t>
      </w:r>
      <w:r>
        <w:rPr>
          <w:spacing w:val="-4"/>
        </w:rPr>
        <w:t>rate</w:t>
      </w:r>
      <w:r>
        <w:rPr>
          <w:spacing w:val="-9"/>
        </w:rPr>
        <w:t> </w:t>
      </w:r>
      <w:r>
        <w:rPr>
          <w:spacing w:val="-4"/>
        </w:rPr>
        <w:t>of</w:t>
      </w:r>
      <w:r>
        <w:rPr>
          <w:spacing w:val="-7"/>
        </w:rPr>
        <w:t> </w:t>
      </w:r>
      <w:r>
        <w:rPr>
          <w:spacing w:val="-4"/>
        </w:rPr>
        <w:t>return </w:t>
      </w:r>
      <w:r>
        <w:rPr/>
        <w:t>derived</w:t>
      </w:r>
      <w:r>
        <w:rPr>
          <w:spacing w:val="-3"/>
        </w:rPr>
        <w:t> </w:t>
      </w:r>
      <w:r>
        <w:rPr/>
        <w:t>by</w:t>
      </w:r>
      <w:r>
        <w:rPr>
          <w:spacing w:val="-8"/>
        </w:rPr>
        <w:t> </w:t>
      </w:r>
      <w:r>
        <w:rPr/>
        <w:t>this</w:t>
      </w:r>
      <w:r>
        <w:rPr>
          <w:spacing w:val="-8"/>
        </w:rPr>
        <w:t> </w:t>
      </w:r>
      <w:r>
        <w:rPr/>
        <w:t>theory</w:t>
      </w:r>
      <w:r>
        <w:rPr>
          <w:spacing w:val="-3"/>
        </w:rPr>
        <w:t> </w:t>
      </w:r>
      <w:r>
        <w:rPr/>
        <w:t>is</w:t>
      </w:r>
      <w:r>
        <w:rPr>
          <w:spacing w:val="-9"/>
        </w:rPr>
        <w:t> </w:t>
      </w:r>
      <w:r>
        <w:rPr/>
        <w:t>used</w:t>
      </w:r>
      <w:r>
        <w:rPr>
          <w:spacing w:val="-6"/>
        </w:rPr>
        <w:t> </w:t>
      </w:r>
      <w:r>
        <w:rPr/>
        <w:t>to</w:t>
      </w:r>
      <w:r>
        <w:rPr>
          <w:spacing w:val="-8"/>
        </w:rPr>
        <w:t> </w:t>
      </w:r>
      <w:r>
        <w:rPr/>
        <w:t>price</w:t>
      </w:r>
      <w:r>
        <w:rPr>
          <w:spacing w:val="-7"/>
        </w:rPr>
        <w:t> </w:t>
      </w:r>
      <w:r>
        <w:rPr/>
        <w:t>the</w:t>
      </w:r>
      <w:r>
        <w:rPr>
          <w:spacing w:val="-8"/>
        </w:rPr>
        <w:t> </w:t>
      </w:r>
      <w:r>
        <w:rPr/>
        <w:t>asset</w:t>
      </w:r>
      <w:r>
        <w:rPr>
          <w:spacing w:val="-4"/>
        </w:rPr>
        <w:t> </w:t>
      </w:r>
      <w:r>
        <w:rPr/>
        <w:t>accurately</w:t>
      </w:r>
      <w:r>
        <w:rPr>
          <w:spacing w:val="-1"/>
        </w:rPr>
        <w:t> </w:t>
      </w:r>
      <w:r>
        <w:rPr/>
        <w:t>(Uwubanmwen &amp;</w:t>
      </w:r>
      <w:r>
        <w:rPr>
          <w:spacing w:val="-7"/>
        </w:rPr>
        <w:t> </w:t>
      </w:r>
      <w:r>
        <w:rPr/>
        <w:t>Obayagbona, 2012). Bangladesh's economy is</w:t>
      </w:r>
      <w:r>
        <w:rPr>
          <w:spacing w:val="-1"/>
        </w:rPr>
        <w:t> </w:t>
      </w:r>
      <w:r>
        <w:rPr/>
        <w:t>characterized as a developing market economy (Riaz &amp; </w:t>
      </w:r>
      <w:r>
        <w:rPr>
          <w:spacing w:val="-4"/>
        </w:rPr>
        <w:t>Rahman,</w:t>
      </w:r>
      <w:r>
        <w:rPr>
          <w:spacing w:val="-11"/>
        </w:rPr>
        <w:t> </w:t>
      </w:r>
      <w:r>
        <w:rPr>
          <w:spacing w:val="-4"/>
        </w:rPr>
        <w:t>2016).</w:t>
      </w:r>
      <w:r>
        <w:rPr>
          <w:spacing w:val="-10"/>
        </w:rPr>
        <w:t> </w:t>
      </w:r>
      <w:r>
        <w:rPr>
          <w:spacing w:val="-4"/>
        </w:rPr>
        <w:t>Dhaka</w:t>
      </w:r>
      <w:r>
        <w:rPr>
          <w:spacing w:val="-11"/>
        </w:rPr>
        <w:t> </w:t>
      </w:r>
      <w:r>
        <w:rPr>
          <w:spacing w:val="-4"/>
        </w:rPr>
        <w:t>Stock</w:t>
      </w:r>
      <w:r>
        <w:rPr>
          <w:spacing w:val="-10"/>
        </w:rPr>
        <w:t> </w:t>
      </w:r>
      <w:r>
        <w:rPr>
          <w:spacing w:val="-4"/>
        </w:rPr>
        <w:t>Exchange</w:t>
      </w:r>
      <w:r>
        <w:rPr>
          <w:spacing w:val="-10"/>
        </w:rPr>
        <w:t> </w:t>
      </w:r>
      <w:r>
        <w:rPr>
          <w:spacing w:val="-4"/>
        </w:rPr>
        <w:t>(DSE)</w:t>
      </w:r>
      <w:r>
        <w:rPr>
          <w:spacing w:val="-7"/>
        </w:rPr>
        <w:t> </w:t>
      </w:r>
      <w:r>
        <w:rPr>
          <w:spacing w:val="-4"/>
        </w:rPr>
        <w:t>is</w:t>
      </w:r>
      <w:r>
        <w:rPr>
          <w:spacing w:val="-10"/>
        </w:rPr>
        <w:t> </w:t>
      </w:r>
      <w:r>
        <w:rPr>
          <w:spacing w:val="-4"/>
        </w:rPr>
        <w:t>the</w:t>
      </w:r>
      <w:r>
        <w:rPr>
          <w:spacing w:val="-11"/>
        </w:rPr>
        <w:t> </w:t>
      </w:r>
      <w:r>
        <w:rPr>
          <w:spacing w:val="-4"/>
        </w:rPr>
        <w:t>first,</w:t>
      </w:r>
      <w:r>
        <w:rPr>
          <w:spacing w:val="-6"/>
        </w:rPr>
        <w:t> </w:t>
      </w:r>
      <w:r>
        <w:rPr>
          <w:spacing w:val="-4"/>
        </w:rPr>
        <w:t>biggest,</w:t>
      </w:r>
      <w:r>
        <w:rPr>
          <w:spacing w:val="-9"/>
        </w:rPr>
        <w:t> </w:t>
      </w:r>
      <w:r>
        <w:rPr>
          <w:spacing w:val="-4"/>
        </w:rPr>
        <w:t>and</w:t>
      </w:r>
      <w:r>
        <w:rPr>
          <w:spacing w:val="-11"/>
        </w:rPr>
        <w:t> </w:t>
      </w:r>
      <w:r>
        <w:rPr>
          <w:spacing w:val="-4"/>
        </w:rPr>
        <w:t>most</w:t>
      </w:r>
      <w:r>
        <w:rPr>
          <w:spacing w:val="-8"/>
        </w:rPr>
        <w:t> </w:t>
      </w:r>
      <w:r>
        <w:rPr>
          <w:spacing w:val="-4"/>
        </w:rPr>
        <w:t>important capital </w:t>
      </w:r>
      <w:r>
        <w:rPr/>
        <w:t>market in</w:t>
      </w:r>
      <w:r>
        <w:rPr>
          <w:spacing w:val="-1"/>
        </w:rPr>
        <w:t> </w:t>
      </w:r>
      <w:r>
        <w:rPr/>
        <w:t>Bangladesh. It</w:t>
      </w:r>
      <w:r>
        <w:rPr>
          <w:spacing w:val="-3"/>
        </w:rPr>
        <w:t> </w:t>
      </w:r>
      <w:r>
        <w:rPr/>
        <w:t>is</w:t>
      </w:r>
      <w:r>
        <w:rPr>
          <w:spacing w:val="-3"/>
        </w:rPr>
        <w:t> </w:t>
      </w:r>
      <w:r>
        <w:rPr/>
        <w:t>not sufficiently developed to</w:t>
      </w:r>
      <w:r>
        <w:rPr>
          <w:spacing w:val="-1"/>
        </w:rPr>
        <w:t> </w:t>
      </w:r>
      <w:r>
        <w:rPr/>
        <w:t>be</w:t>
      </w:r>
      <w:r>
        <w:rPr>
          <w:spacing w:val="-4"/>
        </w:rPr>
        <w:t> </w:t>
      </w:r>
      <w:r>
        <w:rPr/>
        <w:t>viewed as</w:t>
      </w:r>
      <w:r>
        <w:rPr>
          <w:spacing w:val="-3"/>
        </w:rPr>
        <w:t> </w:t>
      </w:r>
      <w:r>
        <w:rPr/>
        <w:t>a</w:t>
      </w:r>
      <w:r>
        <w:rPr>
          <w:spacing w:val="-3"/>
        </w:rPr>
        <w:t> </w:t>
      </w:r>
      <w:r>
        <w:rPr/>
        <w:t>perfect securities exchange</w:t>
      </w:r>
      <w:r>
        <w:rPr>
          <w:spacing w:val="-15"/>
        </w:rPr>
        <w:t> </w:t>
      </w:r>
      <w:r>
        <w:rPr/>
        <w:t>(</w:t>
      </w:r>
      <w:r>
        <w:rPr>
          <w:spacing w:val="-14"/>
        </w:rPr>
        <w:t> </w:t>
      </w:r>
      <w:r>
        <w:rPr/>
        <w:t>Islam,</w:t>
      </w:r>
      <w:r>
        <w:rPr>
          <w:spacing w:val="-15"/>
        </w:rPr>
        <w:t> </w:t>
      </w:r>
      <w:r>
        <w:rPr/>
        <w:t>Salam,</w:t>
      </w:r>
      <w:r>
        <w:rPr>
          <w:spacing w:val="-14"/>
        </w:rPr>
        <w:t> </w:t>
      </w:r>
      <w:r>
        <w:rPr/>
        <w:t>&amp;</w:t>
      </w:r>
      <w:r>
        <w:rPr>
          <w:spacing w:val="-14"/>
        </w:rPr>
        <w:t> </w:t>
      </w:r>
      <w:r>
        <w:rPr/>
        <w:t>Hasan,</w:t>
      </w:r>
      <w:r>
        <w:rPr>
          <w:spacing w:val="-15"/>
        </w:rPr>
        <w:t> </w:t>
      </w:r>
      <w:r>
        <w:rPr/>
        <w:t>2015).</w:t>
      </w:r>
      <w:r>
        <w:rPr>
          <w:spacing w:val="-14"/>
        </w:rPr>
        <w:t> </w:t>
      </w:r>
      <w:r>
        <w:rPr/>
        <w:t>There</w:t>
      </w:r>
      <w:r>
        <w:rPr>
          <w:spacing w:val="-14"/>
        </w:rPr>
        <w:t> </w:t>
      </w:r>
      <w:r>
        <w:rPr/>
        <w:t>could</w:t>
      </w:r>
      <w:r>
        <w:rPr>
          <w:spacing w:val="-15"/>
        </w:rPr>
        <w:t> </w:t>
      </w:r>
      <w:r>
        <w:rPr/>
        <w:t>be</w:t>
      </w:r>
      <w:r>
        <w:rPr>
          <w:spacing w:val="-14"/>
        </w:rPr>
        <w:t> </w:t>
      </w:r>
      <w:r>
        <w:rPr/>
        <w:t>hundreds</w:t>
      </w:r>
      <w:r>
        <w:rPr>
          <w:spacing w:val="-15"/>
        </w:rPr>
        <w:t> </w:t>
      </w:r>
      <w:r>
        <w:rPr/>
        <w:t>or</w:t>
      </w:r>
      <w:r>
        <w:rPr>
          <w:spacing w:val="-14"/>
        </w:rPr>
        <w:t> </w:t>
      </w:r>
      <w:r>
        <w:rPr/>
        <w:t>thousands</w:t>
      </w:r>
      <w:r>
        <w:rPr>
          <w:spacing w:val="-14"/>
        </w:rPr>
        <w:t> </w:t>
      </w:r>
      <w:r>
        <w:rPr/>
        <w:t>of</w:t>
      </w:r>
      <w:r>
        <w:rPr>
          <w:spacing w:val="-15"/>
        </w:rPr>
        <w:t> </w:t>
      </w:r>
      <w:r>
        <w:rPr/>
        <w:t>reasons that</w:t>
      </w:r>
      <w:r>
        <w:rPr>
          <w:spacing w:val="-4"/>
        </w:rPr>
        <w:t> </w:t>
      </w:r>
      <w:r>
        <w:rPr/>
        <w:t>influence the</w:t>
      </w:r>
      <w:r>
        <w:rPr>
          <w:spacing w:val="-8"/>
        </w:rPr>
        <w:t> </w:t>
      </w:r>
      <w:r>
        <w:rPr/>
        <w:t>stock</w:t>
      </w:r>
      <w:r>
        <w:rPr>
          <w:spacing w:val="-2"/>
        </w:rPr>
        <w:t> </w:t>
      </w:r>
      <w:r>
        <w:rPr/>
        <w:t>price</w:t>
      </w:r>
      <w:r>
        <w:rPr>
          <w:spacing w:val="-2"/>
        </w:rPr>
        <w:t> </w:t>
      </w:r>
      <w:r>
        <w:rPr/>
        <w:t>of</w:t>
      </w:r>
      <w:r>
        <w:rPr>
          <w:spacing w:val="-4"/>
        </w:rPr>
        <w:t> </w:t>
      </w:r>
      <w:r>
        <w:rPr/>
        <w:t>DSE.</w:t>
      </w:r>
      <w:r>
        <w:rPr>
          <w:spacing w:val="-5"/>
        </w:rPr>
        <w:t> </w:t>
      </w:r>
      <w:r>
        <w:rPr/>
        <w:t>Similar to</w:t>
      </w:r>
      <w:r>
        <w:rPr>
          <w:spacing w:val="-9"/>
        </w:rPr>
        <w:t> </w:t>
      </w:r>
      <w:r>
        <w:rPr/>
        <w:t>other</w:t>
      </w:r>
      <w:r>
        <w:rPr>
          <w:spacing w:val="-4"/>
        </w:rPr>
        <w:t> </w:t>
      </w:r>
      <w:r>
        <w:rPr/>
        <w:t>stock</w:t>
      </w:r>
      <w:r>
        <w:rPr>
          <w:spacing w:val="-4"/>
        </w:rPr>
        <w:t> </w:t>
      </w:r>
      <w:r>
        <w:rPr/>
        <w:t>markets in</w:t>
      </w:r>
      <w:r>
        <w:rPr>
          <w:spacing w:val="-3"/>
        </w:rPr>
        <w:t> </w:t>
      </w:r>
      <w:r>
        <w:rPr/>
        <w:t>the</w:t>
      </w:r>
      <w:r>
        <w:rPr>
          <w:spacing w:val="-4"/>
        </w:rPr>
        <w:t> </w:t>
      </w:r>
      <w:r>
        <w:rPr/>
        <w:t>world, the</w:t>
      </w:r>
      <w:r>
        <w:rPr>
          <w:spacing w:val="-5"/>
        </w:rPr>
        <w:t> </w:t>
      </w:r>
      <w:r>
        <w:rPr/>
        <w:t>link between</w:t>
      </w:r>
      <w:r>
        <w:rPr>
          <w:spacing w:val="-15"/>
        </w:rPr>
        <w:t> </w:t>
      </w:r>
      <w:r>
        <w:rPr/>
        <w:t>macroeconomic</w:t>
      </w:r>
      <w:r>
        <w:rPr>
          <w:spacing w:val="-14"/>
        </w:rPr>
        <w:t> </w:t>
      </w:r>
      <w:r>
        <w:rPr/>
        <w:t>conditions</w:t>
      </w:r>
      <w:r>
        <w:rPr>
          <w:spacing w:val="-15"/>
        </w:rPr>
        <w:t> </w:t>
      </w:r>
      <w:r>
        <w:rPr/>
        <w:t>and</w:t>
      </w:r>
      <w:r>
        <w:rPr>
          <w:spacing w:val="-14"/>
        </w:rPr>
        <w:t> </w:t>
      </w:r>
      <w:r>
        <w:rPr/>
        <w:t>stock</w:t>
      </w:r>
      <w:r>
        <w:rPr>
          <w:spacing w:val="-14"/>
        </w:rPr>
        <w:t> </w:t>
      </w:r>
      <w:r>
        <w:rPr/>
        <w:t>return</w:t>
      </w:r>
      <w:r>
        <w:rPr>
          <w:spacing w:val="-15"/>
        </w:rPr>
        <w:t> </w:t>
      </w:r>
      <w:r>
        <w:rPr/>
        <w:t>in</w:t>
      </w:r>
      <w:r>
        <w:rPr>
          <w:spacing w:val="-14"/>
        </w:rPr>
        <w:t> </w:t>
      </w:r>
      <w:r>
        <w:rPr/>
        <w:t>DSE</w:t>
      </w:r>
      <w:r>
        <w:rPr>
          <w:spacing w:val="-14"/>
        </w:rPr>
        <w:t> </w:t>
      </w:r>
      <w:r>
        <w:rPr/>
        <w:t>is</w:t>
      </w:r>
      <w:r>
        <w:rPr>
          <w:spacing w:val="-15"/>
        </w:rPr>
        <w:t> </w:t>
      </w:r>
      <w:r>
        <w:rPr/>
        <w:t>also</w:t>
      </w:r>
      <w:r>
        <w:rPr>
          <w:spacing w:val="-14"/>
        </w:rPr>
        <w:t> </w:t>
      </w:r>
      <w:r>
        <w:rPr/>
        <w:t>inconclusive.</w:t>
      </w:r>
      <w:r>
        <w:rPr>
          <w:spacing w:val="-15"/>
        </w:rPr>
        <w:t> </w:t>
      </w:r>
      <w:r>
        <w:rPr/>
        <w:t>Thus,</w:t>
      </w:r>
      <w:r>
        <w:rPr>
          <w:spacing w:val="-14"/>
        </w:rPr>
        <w:t> </w:t>
      </w:r>
      <w:r>
        <w:rPr/>
        <w:t>the arbitrage pricing theory can be applied in analyzing the stock return of DSE because the return</w:t>
      </w:r>
      <w:r>
        <w:rPr>
          <w:spacing w:val="-15"/>
        </w:rPr>
        <w:t> </w:t>
      </w:r>
      <w:r>
        <w:rPr/>
        <w:t>is</w:t>
      </w:r>
      <w:r>
        <w:rPr>
          <w:spacing w:val="-14"/>
        </w:rPr>
        <w:t> </w:t>
      </w:r>
      <w:r>
        <w:rPr/>
        <w:t>more</w:t>
      </w:r>
      <w:r>
        <w:rPr>
          <w:spacing w:val="-15"/>
        </w:rPr>
        <w:t> </w:t>
      </w:r>
      <w:r>
        <w:rPr/>
        <w:t>or</w:t>
      </w:r>
      <w:r>
        <w:rPr>
          <w:spacing w:val="-14"/>
        </w:rPr>
        <w:t> </w:t>
      </w:r>
      <w:r>
        <w:rPr/>
        <w:t>less</w:t>
      </w:r>
      <w:r>
        <w:rPr>
          <w:spacing w:val="-14"/>
        </w:rPr>
        <w:t> </w:t>
      </w:r>
      <w:r>
        <w:rPr/>
        <w:t>affected</w:t>
      </w:r>
      <w:r>
        <w:rPr>
          <w:spacing w:val="-15"/>
        </w:rPr>
        <w:t> </w:t>
      </w:r>
      <w:r>
        <w:rPr/>
        <w:t>by</w:t>
      </w:r>
      <w:r>
        <w:rPr>
          <w:spacing w:val="-14"/>
        </w:rPr>
        <w:t> </w:t>
      </w:r>
      <w:r>
        <w:rPr/>
        <w:t>macroeconomic</w:t>
      </w:r>
      <w:r>
        <w:rPr>
          <w:spacing w:val="-1"/>
        </w:rPr>
        <w:t> </w:t>
      </w:r>
      <w:r>
        <w:rPr/>
        <w:t>forces.</w:t>
      </w:r>
    </w:p>
    <w:p>
      <w:pPr>
        <w:pStyle w:val="Heading1"/>
        <w:numPr>
          <w:ilvl w:val="0"/>
          <w:numId w:val="1"/>
        </w:numPr>
        <w:tabs>
          <w:tab w:pos="397" w:val="left" w:leader="none"/>
        </w:tabs>
        <w:spacing w:line="240" w:lineRule="auto" w:before="79" w:after="0"/>
        <w:ind w:left="397" w:right="0" w:hanging="216"/>
        <w:jc w:val="both"/>
      </w:pPr>
      <w:r>
        <w:rPr>
          <w:spacing w:val="-7"/>
        </w:rPr>
        <w:t>Literature</w:t>
      </w:r>
      <w:r>
        <w:rPr>
          <w:spacing w:val="10"/>
        </w:rPr>
        <w:t> </w:t>
      </w:r>
      <w:r>
        <w:rPr>
          <w:spacing w:val="-2"/>
        </w:rPr>
        <w:t>Review</w:t>
      </w:r>
    </w:p>
    <w:p>
      <w:pPr>
        <w:pStyle w:val="BodyText"/>
        <w:spacing w:line="264" w:lineRule="auto" w:before="138"/>
        <w:ind w:left="177" w:right="193" w:firstLine="3"/>
        <w:jc w:val="both"/>
      </w:pPr>
      <w:r>
        <w:rPr/>
        <w:t>APT</w:t>
      </w:r>
      <w:r>
        <w:rPr>
          <w:spacing w:val="-8"/>
        </w:rPr>
        <w:t> </w:t>
      </w:r>
      <w:r>
        <w:rPr/>
        <w:t>has</w:t>
      </w:r>
      <w:r>
        <w:rPr>
          <w:spacing w:val="-9"/>
        </w:rPr>
        <w:t> </w:t>
      </w:r>
      <w:r>
        <w:rPr/>
        <w:t>been</w:t>
      </w:r>
      <w:r>
        <w:rPr>
          <w:spacing w:val="-3"/>
        </w:rPr>
        <w:t> </w:t>
      </w:r>
      <w:r>
        <w:rPr/>
        <w:t>empirically</w:t>
      </w:r>
      <w:r>
        <w:rPr>
          <w:spacing w:val="-2"/>
        </w:rPr>
        <w:t> </w:t>
      </w:r>
      <w:r>
        <w:rPr/>
        <w:t>tested</w:t>
      </w:r>
      <w:r>
        <w:rPr>
          <w:spacing w:val="-6"/>
        </w:rPr>
        <w:t> </w:t>
      </w:r>
      <w:r>
        <w:rPr/>
        <w:t>in</w:t>
      </w:r>
      <w:r>
        <w:rPr>
          <w:spacing w:val="-8"/>
        </w:rPr>
        <w:t> </w:t>
      </w:r>
      <w:r>
        <w:rPr/>
        <w:t>Istanbul Stock</w:t>
      </w:r>
      <w:r>
        <w:rPr>
          <w:spacing w:val="-7"/>
        </w:rPr>
        <w:t> </w:t>
      </w:r>
      <w:r>
        <w:rPr/>
        <w:t>Exchange</w:t>
      </w:r>
      <w:r>
        <w:rPr>
          <w:spacing w:val="-1"/>
        </w:rPr>
        <w:t> </w:t>
      </w:r>
      <w:r>
        <w:rPr/>
        <w:t>(ISE)</w:t>
      </w:r>
      <w:r>
        <w:rPr>
          <w:spacing w:val="-4"/>
        </w:rPr>
        <w:t> </w:t>
      </w:r>
      <w:r>
        <w:rPr/>
        <w:t>by</w:t>
      </w:r>
      <w:r>
        <w:rPr>
          <w:spacing w:val="-8"/>
        </w:rPr>
        <w:t> </w:t>
      </w:r>
      <w:r>
        <w:rPr/>
        <w:t>Türsoy</w:t>
      </w:r>
      <w:r>
        <w:rPr>
          <w:spacing w:val="-5"/>
        </w:rPr>
        <w:t> </w:t>
      </w:r>
      <w:r>
        <w:rPr>
          <w:i/>
        </w:rPr>
        <w:t>et</w:t>
      </w:r>
      <w:r>
        <w:rPr>
          <w:i/>
          <w:spacing w:val="-11"/>
        </w:rPr>
        <w:t> </w:t>
      </w:r>
      <w:r>
        <w:rPr/>
        <w:t>a/.</w:t>
      </w:r>
      <w:r>
        <w:rPr>
          <w:spacing w:val="-4"/>
        </w:rPr>
        <w:t> </w:t>
      </w:r>
      <w:r>
        <w:rPr/>
        <w:t>(2008) </w:t>
      </w:r>
      <w:r>
        <w:rPr>
          <w:spacing w:val="-4"/>
        </w:rPr>
        <w:t>using</w:t>
      </w:r>
      <w:r>
        <w:rPr>
          <w:spacing w:val="-11"/>
        </w:rPr>
        <w:t> </w:t>
      </w:r>
      <w:r>
        <w:rPr>
          <w:spacing w:val="-4"/>
        </w:rPr>
        <w:t>monthly</w:t>
      </w:r>
      <w:r>
        <w:rPr>
          <w:spacing w:val="-10"/>
        </w:rPr>
        <w:t> </w:t>
      </w:r>
      <w:r>
        <w:rPr>
          <w:spacing w:val="-4"/>
        </w:rPr>
        <w:t>data</w:t>
      </w:r>
      <w:r>
        <w:rPr>
          <w:spacing w:val="-11"/>
        </w:rPr>
        <w:t> </w:t>
      </w:r>
      <w:r>
        <w:rPr>
          <w:spacing w:val="-4"/>
        </w:rPr>
        <w:t>from</w:t>
      </w:r>
      <w:r>
        <w:rPr>
          <w:spacing w:val="-10"/>
        </w:rPr>
        <w:t> </w:t>
      </w:r>
      <w:r>
        <w:rPr>
          <w:spacing w:val="-4"/>
        </w:rPr>
        <w:t>February</w:t>
      </w:r>
      <w:r>
        <w:rPr>
          <w:spacing w:val="-10"/>
        </w:rPr>
        <w:t> </w:t>
      </w:r>
      <w:r>
        <w:rPr>
          <w:spacing w:val="-4"/>
        </w:rPr>
        <w:t>2001</w:t>
      </w:r>
      <w:r>
        <w:rPr>
          <w:spacing w:val="-11"/>
        </w:rPr>
        <w:t> </w:t>
      </w:r>
      <w:r>
        <w:rPr>
          <w:spacing w:val="-4"/>
        </w:rPr>
        <w:t>to</w:t>
      </w:r>
      <w:r>
        <w:rPr>
          <w:spacing w:val="-10"/>
        </w:rPr>
        <w:t> </w:t>
      </w:r>
      <w:r>
        <w:rPr>
          <w:spacing w:val="-4"/>
        </w:rPr>
        <w:t>September</w:t>
      </w:r>
      <w:r>
        <w:rPr>
          <w:spacing w:val="-10"/>
        </w:rPr>
        <w:t> </w:t>
      </w:r>
      <w:r>
        <w:rPr>
          <w:spacing w:val="-4"/>
        </w:rPr>
        <w:t>2005.</w:t>
      </w:r>
      <w:r>
        <w:rPr>
          <w:spacing w:val="-11"/>
        </w:rPr>
        <w:t> </w:t>
      </w:r>
      <w:r>
        <w:rPr>
          <w:spacing w:val="-4"/>
        </w:rPr>
        <w:t>The</w:t>
      </w:r>
      <w:r>
        <w:rPr>
          <w:spacing w:val="-10"/>
        </w:rPr>
        <w:t> </w:t>
      </w:r>
      <w:r>
        <w:rPr>
          <w:spacing w:val="-4"/>
        </w:rPr>
        <w:t>13</w:t>
      </w:r>
      <w:r>
        <w:rPr>
          <w:spacing w:val="-11"/>
        </w:rPr>
        <w:t> </w:t>
      </w:r>
      <w:r>
        <w:rPr>
          <w:spacing w:val="-4"/>
        </w:rPr>
        <w:t>macroeconomic</w:t>
      </w:r>
      <w:r>
        <w:rPr>
          <w:spacing w:val="2"/>
        </w:rPr>
        <w:t> </w:t>
      </w:r>
      <w:r>
        <w:rPr>
          <w:spacing w:val="-4"/>
        </w:rPr>
        <w:t>variables </w:t>
      </w:r>
      <w:r>
        <w:rPr>
          <w:spacing w:val="-2"/>
        </w:rPr>
        <w:t>were</w:t>
      </w:r>
      <w:r>
        <w:rPr>
          <w:spacing w:val="-13"/>
        </w:rPr>
        <w:t> </w:t>
      </w:r>
      <w:r>
        <w:rPr>
          <w:spacing w:val="-2"/>
        </w:rPr>
        <w:t>tested</w:t>
      </w:r>
      <w:r>
        <w:rPr>
          <w:spacing w:val="-12"/>
        </w:rPr>
        <w:t> </w:t>
      </w:r>
      <w:r>
        <w:rPr>
          <w:spacing w:val="-2"/>
        </w:rPr>
        <w:t>against</w:t>
      </w:r>
      <w:r>
        <w:rPr>
          <w:spacing w:val="-13"/>
        </w:rPr>
        <w:t> </w:t>
      </w:r>
      <w:r>
        <w:rPr>
          <w:spacing w:val="-2"/>
        </w:rPr>
        <w:t>11</w:t>
      </w:r>
      <w:r>
        <w:rPr>
          <w:spacing w:val="-12"/>
        </w:rPr>
        <w:t> </w:t>
      </w:r>
      <w:r>
        <w:rPr>
          <w:spacing w:val="-2"/>
        </w:rPr>
        <w:t>industry</w:t>
      </w:r>
      <w:r>
        <w:rPr>
          <w:spacing w:val="-12"/>
        </w:rPr>
        <w:t> </w:t>
      </w:r>
      <w:r>
        <w:rPr>
          <w:spacing w:val="-2"/>
        </w:rPr>
        <w:t>portfolios</w:t>
      </w:r>
      <w:r>
        <w:rPr>
          <w:spacing w:val="-13"/>
        </w:rPr>
        <w:t> </w:t>
      </w:r>
      <w:r>
        <w:rPr>
          <w:spacing w:val="-2"/>
        </w:rPr>
        <w:t>of</w:t>
      </w:r>
      <w:r>
        <w:rPr>
          <w:spacing w:val="-12"/>
        </w:rPr>
        <w:t> </w:t>
      </w:r>
      <w:r>
        <w:rPr>
          <w:spacing w:val="-2"/>
        </w:rPr>
        <w:t>the</w:t>
      </w:r>
      <w:r>
        <w:rPr>
          <w:spacing w:val="-12"/>
        </w:rPr>
        <w:t> </w:t>
      </w:r>
      <w:r>
        <w:rPr>
          <w:spacing w:val="-2"/>
        </w:rPr>
        <w:t>ISE.</w:t>
      </w:r>
      <w:r>
        <w:rPr>
          <w:spacing w:val="-13"/>
        </w:rPr>
        <w:t> </w:t>
      </w:r>
      <w:r>
        <w:rPr>
          <w:spacing w:val="-2"/>
        </w:rPr>
        <w:t>The</w:t>
      </w:r>
      <w:r>
        <w:rPr>
          <w:spacing w:val="-12"/>
        </w:rPr>
        <w:t> </w:t>
      </w:r>
      <w:r>
        <w:rPr>
          <w:spacing w:val="-2"/>
        </w:rPr>
        <w:t>econometric</w:t>
      </w:r>
      <w:r>
        <w:rPr>
          <w:spacing w:val="-13"/>
        </w:rPr>
        <w:t> </w:t>
      </w:r>
      <w:r>
        <w:rPr>
          <w:spacing w:val="-2"/>
        </w:rPr>
        <w:t>model</w:t>
      </w:r>
      <w:r>
        <w:rPr>
          <w:spacing w:val="-12"/>
        </w:rPr>
        <w:t> </w:t>
      </w:r>
      <w:r>
        <w:rPr>
          <w:spacing w:val="-2"/>
        </w:rPr>
        <w:t>followed</w:t>
      </w:r>
      <w:r>
        <w:rPr>
          <w:spacing w:val="-12"/>
        </w:rPr>
        <w:t> </w:t>
      </w:r>
      <w:r>
        <w:rPr>
          <w:spacing w:val="-2"/>
        </w:rPr>
        <w:t>in</w:t>
      </w:r>
      <w:r>
        <w:rPr>
          <w:spacing w:val="-13"/>
        </w:rPr>
        <w:t> </w:t>
      </w:r>
      <w:r>
        <w:rPr>
          <w:spacing w:val="-2"/>
        </w:rPr>
        <w:t>this </w:t>
      </w:r>
      <w:r>
        <w:rPr/>
        <w:t>study was the Ordinary Least Square method. The regression results indicated that the macroeconomic factors of interest have no significant pricing relationship with the stock return. Thèse results consequently indicated that multifactor APT with macroeconomic </w:t>
      </w:r>
      <w:r>
        <w:rPr>
          <w:spacing w:val="-2"/>
        </w:rPr>
        <w:t>factors</w:t>
      </w:r>
      <w:r>
        <w:rPr>
          <w:spacing w:val="-13"/>
        </w:rPr>
        <w:t> </w:t>
      </w:r>
      <w:r>
        <w:rPr>
          <w:spacing w:val="-2"/>
        </w:rPr>
        <w:t>failed</w:t>
      </w:r>
      <w:r>
        <w:rPr>
          <w:spacing w:val="-12"/>
        </w:rPr>
        <w:t> </w:t>
      </w:r>
      <w:r>
        <w:rPr>
          <w:spacing w:val="-2"/>
        </w:rPr>
        <w:t>to</w:t>
      </w:r>
      <w:r>
        <w:rPr>
          <w:spacing w:val="-13"/>
        </w:rPr>
        <w:t> </w:t>
      </w:r>
      <w:r>
        <w:rPr>
          <w:spacing w:val="-2"/>
        </w:rPr>
        <w:t>explain</w:t>
      </w:r>
      <w:r>
        <w:rPr>
          <w:spacing w:val="-12"/>
        </w:rPr>
        <w:t> </w:t>
      </w:r>
      <w:r>
        <w:rPr>
          <w:spacing w:val="-2"/>
        </w:rPr>
        <w:t>the</w:t>
      </w:r>
      <w:r>
        <w:rPr>
          <w:spacing w:val="-12"/>
        </w:rPr>
        <w:t> </w:t>
      </w:r>
      <w:r>
        <w:rPr>
          <w:spacing w:val="-2"/>
        </w:rPr>
        <w:t>effect</w:t>
      </w:r>
      <w:r>
        <w:rPr>
          <w:spacing w:val="-13"/>
        </w:rPr>
        <w:t> </w:t>
      </w:r>
      <w:r>
        <w:rPr>
          <w:spacing w:val="-2"/>
        </w:rPr>
        <w:t>in</w:t>
      </w:r>
      <w:r>
        <w:rPr>
          <w:spacing w:val="-12"/>
        </w:rPr>
        <w:t> </w:t>
      </w:r>
      <w:r>
        <w:rPr>
          <w:spacing w:val="-2"/>
        </w:rPr>
        <w:t>the</w:t>
      </w:r>
      <w:r>
        <w:rPr>
          <w:spacing w:val="-12"/>
        </w:rPr>
        <w:t> </w:t>
      </w:r>
      <w:r>
        <w:rPr>
          <w:spacing w:val="-2"/>
        </w:rPr>
        <w:t>stock</w:t>
      </w:r>
      <w:r>
        <w:rPr>
          <w:spacing w:val="-13"/>
        </w:rPr>
        <w:t> </w:t>
      </w:r>
      <w:r>
        <w:rPr>
          <w:spacing w:val="-2"/>
        </w:rPr>
        <w:t>market.</w:t>
      </w:r>
      <w:r>
        <w:rPr>
          <w:spacing w:val="-12"/>
        </w:rPr>
        <w:t> </w:t>
      </w:r>
      <w:r>
        <w:rPr>
          <w:spacing w:val="-2"/>
        </w:rPr>
        <w:t>They</w:t>
      </w:r>
      <w:r>
        <w:rPr>
          <w:spacing w:val="-13"/>
        </w:rPr>
        <w:t> </w:t>
      </w:r>
      <w:r>
        <w:rPr>
          <w:spacing w:val="-2"/>
        </w:rPr>
        <w:t>further</w:t>
      </w:r>
      <w:r>
        <w:rPr>
          <w:spacing w:val="-12"/>
        </w:rPr>
        <w:t> </w:t>
      </w:r>
      <w:r>
        <w:rPr>
          <w:spacing w:val="-2"/>
        </w:rPr>
        <w:t>claimed</w:t>
      </w:r>
      <w:r>
        <w:rPr>
          <w:spacing w:val="-12"/>
        </w:rPr>
        <w:t> </w:t>
      </w:r>
      <w:r>
        <w:rPr>
          <w:spacing w:val="-2"/>
        </w:rPr>
        <w:t>that</w:t>
      </w:r>
      <w:r>
        <w:rPr>
          <w:spacing w:val="-13"/>
        </w:rPr>
        <w:t> </w:t>
      </w:r>
      <w:r>
        <w:rPr>
          <w:spacing w:val="-2"/>
        </w:rPr>
        <w:t>there</w:t>
      </w:r>
      <w:r>
        <w:rPr>
          <w:spacing w:val="-12"/>
        </w:rPr>
        <w:t> </w:t>
      </w:r>
      <w:r>
        <w:rPr>
          <w:spacing w:val="-2"/>
        </w:rPr>
        <w:t>may</w:t>
      </w:r>
      <w:r>
        <w:rPr>
          <w:spacing w:val="-12"/>
        </w:rPr>
        <w:t> </w:t>
      </w:r>
      <w:r>
        <w:rPr>
          <w:spacing w:val="-2"/>
        </w:rPr>
        <w:t>be </w:t>
      </w:r>
      <w:r>
        <w:rPr/>
        <w:t>other factors that may have influences on the</w:t>
      </w:r>
      <w:r>
        <w:rPr>
          <w:spacing w:val="-1"/>
        </w:rPr>
        <w:t> </w:t>
      </w:r>
      <w:r>
        <w:rPr/>
        <w:t>stock return of ISE. Basu &amp;</w:t>
      </w:r>
      <w:r>
        <w:rPr>
          <w:spacing w:val="-1"/>
        </w:rPr>
        <w:t> </w:t>
      </w:r>
      <w:r>
        <w:rPr/>
        <w:t>Chawla (2012) experimented</w:t>
      </w:r>
      <w:r>
        <w:rPr>
          <w:spacing w:val="-15"/>
        </w:rPr>
        <w:t> </w:t>
      </w:r>
      <w:r>
        <w:rPr/>
        <w:t>APT</w:t>
      </w:r>
      <w:r>
        <w:rPr>
          <w:spacing w:val="-12"/>
        </w:rPr>
        <w:t> </w:t>
      </w:r>
      <w:r>
        <w:rPr/>
        <w:t>in</w:t>
      </w:r>
      <w:r>
        <w:rPr>
          <w:spacing w:val="-15"/>
        </w:rPr>
        <w:t> </w:t>
      </w:r>
      <w:r>
        <w:rPr/>
        <w:t>the</w:t>
      </w:r>
      <w:r>
        <w:rPr>
          <w:spacing w:val="-14"/>
        </w:rPr>
        <w:t> </w:t>
      </w:r>
      <w:r>
        <w:rPr/>
        <w:t>Indian</w:t>
      </w:r>
      <w:r>
        <w:rPr>
          <w:spacing w:val="-13"/>
        </w:rPr>
        <w:t> </w:t>
      </w:r>
      <w:r>
        <w:rPr/>
        <w:t>stock</w:t>
      </w:r>
      <w:r>
        <w:rPr>
          <w:spacing w:val="-12"/>
        </w:rPr>
        <w:t> </w:t>
      </w:r>
      <w:r>
        <w:rPr/>
        <w:t>market</w:t>
      </w:r>
      <w:r>
        <w:rPr>
          <w:spacing w:val="-10"/>
        </w:rPr>
        <w:t> </w:t>
      </w:r>
      <w:r>
        <w:rPr/>
        <w:t>to</w:t>
      </w:r>
      <w:r>
        <w:rPr>
          <w:spacing w:val="-15"/>
        </w:rPr>
        <w:t> </w:t>
      </w:r>
      <w:r>
        <w:rPr/>
        <w:t>find</w:t>
      </w:r>
      <w:r>
        <w:rPr>
          <w:spacing w:val="-14"/>
        </w:rPr>
        <w:t> </w:t>
      </w:r>
      <w:r>
        <w:rPr/>
        <w:t>out</w:t>
      </w:r>
      <w:r>
        <w:rPr>
          <w:spacing w:val="-12"/>
        </w:rPr>
        <w:t> </w:t>
      </w:r>
      <w:r>
        <w:rPr/>
        <w:t>the</w:t>
      </w:r>
      <w:r>
        <w:rPr>
          <w:spacing w:val="-13"/>
        </w:rPr>
        <w:t> </w:t>
      </w:r>
      <w:r>
        <w:rPr/>
        <w:t>relationship</w:t>
      </w:r>
      <w:r>
        <w:rPr>
          <w:spacing w:val="-7"/>
        </w:rPr>
        <w:t> </w:t>
      </w:r>
      <w:r>
        <w:rPr/>
        <w:t>between</w:t>
      </w:r>
      <w:r>
        <w:rPr>
          <w:spacing w:val="-8"/>
        </w:rPr>
        <w:t> </w:t>
      </w:r>
      <w:r>
        <w:rPr/>
        <w:t>portfolio returns</w:t>
      </w:r>
      <w:r>
        <w:rPr>
          <w:spacing w:val="-15"/>
        </w:rPr>
        <w:t> </w:t>
      </w:r>
      <w:r>
        <w:rPr/>
        <w:t>and</w:t>
      </w:r>
      <w:r>
        <w:rPr>
          <w:spacing w:val="-14"/>
        </w:rPr>
        <w:t> </w:t>
      </w:r>
      <w:r>
        <w:rPr/>
        <w:t>macroeconomic</w:t>
      </w:r>
      <w:r>
        <w:rPr>
          <w:spacing w:val="-15"/>
        </w:rPr>
        <w:t> </w:t>
      </w:r>
      <w:r>
        <w:rPr/>
        <w:t>factors</w:t>
      </w:r>
      <w:r>
        <w:rPr>
          <w:spacing w:val="-14"/>
        </w:rPr>
        <w:t> </w:t>
      </w:r>
      <w:r>
        <w:rPr/>
        <w:t>that</w:t>
      </w:r>
      <w:r>
        <w:rPr>
          <w:spacing w:val="-14"/>
        </w:rPr>
        <w:t> </w:t>
      </w:r>
      <w:r>
        <w:rPr/>
        <w:t>were</w:t>
      </w:r>
      <w:r>
        <w:rPr>
          <w:spacing w:val="-15"/>
        </w:rPr>
        <w:t> </w:t>
      </w:r>
      <w:r>
        <w:rPr/>
        <w:t>picked.</w:t>
      </w:r>
      <w:r>
        <w:rPr>
          <w:spacing w:val="-14"/>
        </w:rPr>
        <w:t> </w:t>
      </w:r>
      <w:r>
        <w:rPr/>
        <w:t>The</w:t>
      </w:r>
      <w:r>
        <w:rPr>
          <w:spacing w:val="-14"/>
        </w:rPr>
        <w:t> </w:t>
      </w:r>
      <w:r>
        <w:rPr/>
        <w:t>paper</w:t>
      </w:r>
      <w:r>
        <w:rPr>
          <w:spacing w:val="-15"/>
        </w:rPr>
        <w:t> </w:t>
      </w:r>
      <w:r>
        <w:rPr/>
        <w:t>examined</w:t>
      </w:r>
      <w:r>
        <w:rPr>
          <w:spacing w:val="-14"/>
        </w:rPr>
        <w:t> </w:t>
      </w:r>
      <w:r>
        <w:rPr/>
        <w:t>ten</w:t>
      </w:r>
      <w:r>
        <w:rPr>
          <w:spacing w:val="-15"/>
        </w:rPr>
        <w:t> </w:t>
      </w:r>
      <w:r>
        <w:rPr/>
        <w:t>portfolios</w:t>
      </w:r>
      <w:r>
        <w:rPr>
          <w:spacing w:val="-14"/>
        </w:rPr>
        <w:t> </w:t>
      </w:r>
      <w:r>
        <w:rPr/>
        <w:t>for the</w:t>
      </w:r>
      <w:r>
        <w:rPr>
          <w:spacing w:val="-14"/>
        </w:rPr>
        <w:t> </w:t>
      </w:r>
      <w:r>
        <w:rPr/>
        <w:t>period</w:t>
      </w:r>
      <w:r>
        <w:rPr>
          <w:spacing w:val="-9"/>
        </w:rPr>
        <w:t> </w:t>
      </w:r>
      <w:r>
        <w:rPr/>
        <w:t>from</w:t>
      </w:r>
      <w:r>
        <w:rPr>
          <w:spacing w:val="-10"/>
        </w:rPr>
        <w:t> </w:t>
      </w:r>
      <w:r>
        <w:rPr/>
        <w:t>January</w:t>
      </w:r>
      <w:r>
        <w:rPr>
          <w:spacing w:val="-9"/>
        </w:rPr>
        <w:t> </w:t>
      </w:r>
      <w:r>
        <w:rPr/>
        <w:t>2003</w:t>
      </w:r>
      <w:r>
        <w:rPr>
          <w:spacing w:val="-10"/>
        </w:rPr>
        <w:t> </w:t>
      </w:r>
      <w:r>
        <w:rPr/>
        <w:t>to</w:t>
      </w:r>
      <w:r>
        <w:rPr>
          <w:spacing w:val="-10"/>
        </w:rPr>
        <w:t> </w:t>
      </w:r>
      <w:r>
        <w:rPr/>
        <w:t>February</w:t>
      </w:r>
      <w:r>
        <w:rPr>
          <w:spacing w:val="-3"/>
        </w:rPr>
        <w:t> </w:t>
      </w:r>
      <w:r>
        <w:rPr/>
        <w:t>2008.</w:t>
      </w:r>
      <w:r>
        <w:rPr>
          <w:spacing w:val="-10"/>
        </w:rPr>
        <w:t> </w:t>
      </w:r>
      <w:r>
        <w:rPr/>
        <w:t>At</w:t>
      </w:r>
      <w:r>
        <w:rPr>
          <w:spacing w:val="-11"/>
        </w:rPr>
        <w:t> </w:t>
      </w:r>
      <w:r>
        <w:rPr/>
        <w:t>first,</w:t>
      </w:r>
      <w:r>
        <w:rPr>
          <w:spacing w:val="-9"/>
        </w:rPr>
        <w:t> </w:t>
      </w:r>
      <w:r>
        <w:rPr/>
        <w:t>the</w:t>
      </w:r>
      <w:r>
        <w:rPr>
          <w:spacing w:val="-14"/>
        </w:rPr>
        <w:t> </w:t>
      </w:r>
      <w:r>
        <w:rPr/>
        <w:t>factor</w:t>
      </w:r>
      <w:r>
        <w:rPr>
          <w:spacing w:val="-5"/>
        </w:rPr>
        <w:t> </w:t>
      </w:r>
      <w:r>
        <w:rPr/>
        <w:t>analysis</w:t>
      </w:r>
      <w:r>
        <w:rPr>
          <w:spacing w:val="-5"/>
        </w:rPr>
        <w:t> </w:t>
      </w:r>
      <w:r>
        <w:rPr/>
        <w:t>was</w:t>
      </w:r>
      <w:r>
        <w:rPr>
          <w:spacing w:val="-12"/>
        </w:rPr>
        <w:t> </w:t>
      </w:r>
      <w:r>
        <w:rPr/>
        <w:t>performed and the</w:t>
      </w:r>
      <w:r>
        <w:rPr>
          <w:spacing w:val="-2"/>
        </w:rPr>
        <w:t> </w:t>
      </w:r>
      <w:r>
        <w:rPr/>
        <w:t>outcome of it revealed two significant factors namely inflation factor and market index.</w:t>
      </w:r>
      <w:r>
        <w:rPr>
          <w:spacing w:val="-15"/>
        </w:rPr>
        <w:t> </w:t>
      </w:r>
      <w:r>
        <w:rPr/>
        <w:t>Thèse</w:t>
      </w:r>
      <w:r>
        <w:rPr>
          <w:spacing w:val="-14"/>
        </w:rPr>
        <w:t> </w:t>
      </w:r>
      <w:r>
        <w:rPr/>
        <w:t>factors</w:t>
      </w:r>
      <w:r>
        <w:rPr>
          <w:spacing w:val="-15"/>
        </w:rPr>
        <w:t> </w:t>
      </w:r>
      <w:r>
        <w:rPr/>
        <w:t>were</w:t>
      </w:r>
      <w:r>
        <w:rPr>
          <w:spacing w:val="-14"/>
        </w:rPr>
        <w:t> </w:t>
      </w:r>
      <w:r>
        <w:rPr/>
        <w:t>used</w:t>
      </w:r>
      <w:r>
        <w:rPr>
          <w:spacing w:val="-14"/>
        </w:rPr>
        <w:t> </w:t>
      </w:r>
      <w:r>
        <w:rPr/>
        <w:t>to</w:t>
      </w:r>
      <w:r>
        <w:rPr>
          <w:spacing w:val="-15"/>
        </w:rPr>
        <w:t> </w:t>
      </w:r>
      <w:r>
        <w:rPr/>
        <w:t>regress</w:t>
      </w:r>
      <w:r>
        <w:rPr>
          <w:spacing w:val="-14"/>
        </w:rPr>
        <w:t> </w:t>
      </w:r>
      <w:r>
        <w:rPr/>
        <w:t>the</w:t>
      </w:r>
      <w:r>
        <w:rPr>
          <w:spacing w:val="-14"/>
        </w:rPr>
        <w:t> </w:t>
      </w:r>
      <w:r>
        <w:rPr/>
        <w:t>excess</w:t>
      </w:r>
      <w:r>
        <w:rPr>
          <w:spacing w:val="-15"/>
        </w:rPr>
        <w:t> </w:t>
      </w:r>
      <w:r>
        <w:rPr/>
        <w:t>portfolio</w:t>
      </w:r>
      <w:r>
        <w:rPr>
          <w:spacing w:val="-12"/>
        </w:rPr>
        <w:t> </w:t>
      </w:r>
      <w:r>
        <w:rPr/>
        <w:t>returns</w:t>
      </w:r>
      <w:r>
        <w:rPr>
          <w:spacing w:val="-11"/>
        </w:rPr>
        <w:t> </w:t>
      </w:r>
      <w:r>
        <w:rPr/>
        <w:t>and</w:t>
      </w:r>
      <w:r>
        <w:rPr>
          <w:spacing w:val="-15"/>
        </w:rPr>
        <w:t> </w:t>
      </w:r>
      <w:r>
        <w:rPr/>
        <w:t>its</w:t>
      </w:r>
      <w:r>
        <w:rPr>
          <w:spacing w:val="-14"/>
        </w:rPr>
        <w:t> </w:t>
      </w:r>
      <w:r>
        <w:rPr/>
        <w:t>result</w:t>
      </w:r>
      <w:r>
        <w:rPr>
          <w:spacing w:val="-13"/>
        </w:rPr>
        <w:t> </w:t>
      </w:r>
      <w:r>
        <w:rPr/>
        <w:t>unveiled that APT is a useful asset price descriptor in the Indian context over the chosen sample </w:t>
      </w:r>
      <w:r>
        <w:rPr>
          <w:spacing w:val="-2"/>
        </w:rPr>
        <w:t>period.</w:t>
      </w:r>
    </w:p>
    <w:p>
      <w:pPr>
        <w:pStyle w:val="BodyText"/>
        <w:spacing w:line="273" w:lineRule="auto" w:before="91"/>
        <w:ind w:left="178" w:right="204" w:firstLine="2"/>
        <w:jc w:val="both"/>
      </w:pPr>
      <w:r>
        <w:rPr/>
        <w:t>Uwubanmwen</w:t>
      </w:r>
      <w:r>
        <w:rPr>
          <w:spacing w:val="-1"/>
        </w:rPr>
        <w:t> </w:t>
      </w:r>
      <w:r>
        <w:rPr/>
        <w:t>&amp;</w:t>
      </w:r>
      <w:r>
        <w:rPr>
          <w:spacing w:val="-13"/>
        </w:rPr>
        <w:t> </w:t>
      </w:r>
      <w:r>
        <w:rPr/>
        <w:t>Obayagbona</w:t>
      </w:r>
      <w:r>
        <w:rPr>
          <w:spacing w:val="-3"/>
        </w:rPr>
        <w:t> </w:t>
      </w:r>
      <w:r>
        <w:rPr/>
        <w:t>(2012)</w:t>
      </w:r>
      <w:r>
        <w:rPr>
          <w:spacing w:val="-11"/>
        </w:rPr>
        <w:t> </w:t>
      </w:r>
      <w:r>
        <w:rPr/>
        <w:t>inquired</w:t>
      </w:r>
      <w:r>
        <w:rPr>
          <w:spacing w:val="-3"/>
        </w:rPr>
        <w:t> </w:t>
      </w:r>
      <w:r>
        <w:rPr/>
        <w:t>into</w:t>
      </w:r>
      <w:r>
        <w:rPr>
          <w:spacing w:val="-12"/>
        </w:rPr>
        <w:t> </w:t>
      </w:r>
      <w:r>
        <w:rPr/>
        <w:t>the</w:t>
      </w:r>
      <w:r>
        <w:rPr>
          <w:spacing w:val="-13"/>
        </w:rPr>
        <w:t> </w:t>
      </w:r>
      <w:r>
        <w:rPr/>
        <w:t>APT</w:t>
      </w:r>
      <w:r>
        <w:rPr>
          <w:spacing w:val="-15"/>
        </w:rPr>
        <w:t> </w:t>
      </w:r>
      <w:r>
        <w:rPr/>
        <w:t>in</w:t>
      </w:r>
      <w:r>
        <w:rPr>
          <w:spacing w:val="-14"/>
        </w:rPr>
        <w:t> </w:t>
      </w:r>
      <w:r>
        <w:rPr/>
        <w:t>the</w:t>
      </w:r>
      <w:r>
        <w:rPr>
          <w:spacing w:val="-13"/>
        </w:rPr>
        <w:t> </w:t>
      </w:r>
      <w:r>
        <w:rPr/>
        <w:t>stock</w:t>
      </w:r>
      <w:r>
        <w:rPr>
          <w:spacing w:val="-13"/>
        </w:rPr>
        <w:t> </w:t>
      </w:r>
      <w:r>
        <w:rPr/>
        <w:t>market</w:t>
      </w:r>
      <w:r>
        <w:rPr>
          <w:spacing w:val="-11"/>
        </w:rPr>
        <w:t> </w:t>
      </w:r>
      <w:r>
        <w:rPr/>
        <w:t>of</w:t>
      </w:r>
      <w:r>
        <w:rPr>
          <w:spacing w:val="-14"/>
        </w:rPr>
        <w:t> </w:t>
      </w:r>
      <w:r>
        <w:rPr/>
        <w:t>Nigeria focusing</w:t>
      </w:r>
      <w:r>
        <w:rPr>
          <w:spacing w:val="-8"/>
        </w:rPr>
        <w:t> </w:t>
      </w:r>
      <w:r>
        <w:rPr/>
        <w:t>on</w:t>
      </w:r>
      <w:r>
        <w:rPr>
          <w:spacing w:val="-12"/>
        </w:rPr>
        <w:t> </w:t>
      </w:r>
      <w:r>
        <w:rPr/>
        <w:t>the</w:t>
      </w:r>
      <w:r>
        <w:rPr>
          <w:spacing w:val="-15"/>
        </w:rPr>
        <w:t> </w:t>
      </w:r>
      <w:r>
        <w:rPr/>
        <w:t>exchange</w:t>
      </w:r>
      <w:r>
        <w:rPr>
          <w:spacing w:val="-5"/>
        </w:rPr>
        <w:t> </w:t>
      </w:r>
      <w:r>
        <w:rPr/>
        <w:t>rate,</w:t>
      </w:r>
      <w:r>
        <w:rPr>
          <w:spacing w:val="-10"/>
        </w:rPr>
        <w:t> </w:t>
      </w:r>
      <w:r>
        <w:rPr/>
        <w:t>index</w:t>
      </w:r>
      <w:r>
        <w:rPr>
          <w:spacing w:val="-11"/>
        </w:rPr>
        <w:t> </w:t>
      </w:r>
      <w:r>
        <w:rPr/>
        <w:t>of</w:t>
      </w:r>
      <w:r>
        <w:rPr>
          <w:spacing w:val="-9"/>
        </w:rPr>
        <w:t> </w:t>
      </w:r>
      <w:r>
        <w:rPr/>
        <w:t>industrial</w:t>
      </w:r>
      <w:r>
        <w:rPr>
          <w:spacing w:val="-4"/>
        </w:rPr>
        <w:t> </w:t>
      </w:r>
      <w:r>
        <w:rPr/>
        <w:t>output,</w:t>
      </w:r>
      <w:r>
        <w:rPr>
          <w:spacing w:val="-7"/>
        </w:rPr>
        <w:t> </w:t>
      </w:r>
      <w:r>
        <w:rPr/>
        <w:t>money</w:t>
      </w:r>
      <w:r>
        <w:rPr>
          <w:spacing w:val="-8"/>
        </w:rPr>
        <w:t> </w:t>
      </w:r>
      <w:r>
        <w:rPr/>
        <w:t>supply,</w:t>
      </w:r>
      <w:r>
        <w:rPr>
          <w:spacing w:val="-5"/>
        </w:rPr>
        <w:t> </w:t>
      </w:r>
      <w:r>
        <w:rPr/>
        <w:t>and</w:t>
      </w:r>
      <w:r>
        <w:rPr>
          <w:spacing w:val="-13"/>
        </w:rPr>
        <w:t> </w:t>
      </w:r>
      <w:r>
        <w:rPr/>
        <w:t>oil</w:t>
      </w:r>
      <w:r>
        <w:rPr>
          <w:spacing w:val="-11"/>
        </w:rPr>
        <w:t> </w:t>
      </w:r>
      <w:r>
        <w:rPr/>
        <w:t>price.</w:t>
      </w:r>
      <w:r>
        <w:rPr>
          <w:spacing w:val="-13"/>
        </w:rPr>
        <w:t> </w:t>
      </w:r>
      <w:r>
        <w:rPr/>
        <w:t>The outcome</w:t>
      </w:r>
      <w:r>
        <w:rPr>
          <w:spacing w:val="4"/>
        </w:rPr>
        <w:t> </w:t>
      </w:r>
      <w:r>
        <w:rPr/>
        <w:t>of</w:t>
      </w:r>
      <w:r>
        <w:rPr>
          <w:spacing w:val="1"/>
        </w:rPr>
        <w:t> </w:t>
      </w:r>
      <w:r>
        <w:rPr/>
        <w:t>the</w:t>
      </w:r>
      <w:r>
        <w:rPr>
          <w:spacing w:val="4"/>
        </w:rPr>
        <w:t> </w:t>
      </w:r>
      <w:r>
        <w:rPr/>
        <w:t>study</w:t>
      </w:r>
      <w:r>
        <w:rPr>
          <w:spacing w:val="2"/>
        </w:rPr>
        <w:t> </w:t>
      </w:r>
      <w:r>
        <w:rPr/>
        <w:t>indicated</w:t>
      </w:r>
      <w:r>
        <w:rPr>
          <w:spacing w:val="10"/>
        </w:rPr>
        <w:t> </w:t>
      </w:r>
      <w:r>
        <w:rPr/>
        <w:t>that</w:t>
      </w:r>
      <w:r>
        <w:rPr>
          <w:spacing w:val="3"/>
        </w:rPr>
        <w:t> </w:t>
      </w:r>
      <w:r>
        <w:rPr/>
        <w:t>both</w:t>
      </w:r>
      <w:r>
        <w:rPr>
          <w:spacing w:val="4"/>
        </w:rPr>
        <w:t> </w:t>
      </w:r>
      <w:r>
        <w:rPr/>
        <w:t>oil</w:t>
      </w:r>
      <w:r>
        <w:rPr>
          <w:spacing w:val="3"/>
        </w:rPr>
        <w:t> </w:t>
      </w:r>
      <w:r>
        <w:rPr/>
        <w:t>price</w:t>
      </w:r>
      <w:r>
        <w:rPr>
          <w:spacing w:val="2"/>
        </w:rPr>
        <w:t> </w:t>
      </w:r>
      <w:r>
        <w:rPr/>
        <w:t>and</w:t>
      </w:r>
      <w:r>
        <w:rPr>
          <w:spacing w:val="4"/>
        </w:rPr>
        <w:t> </w:t>
      </w:r>
      <w:r>
        <w:rPr/>
        <w:t>industrial</w:t>
      </w:r>
      <w:r>
        <w:rPr>
          <w:spacing w:val="6"/>
        </w:rPr>
        <w:t> </w:t>
      </w:r>
      <w:r>
        <w:rPr/>
        <w:t>production</w:t>
      </w:r>
      <w:r>
        <w:rPr>
          <w:spacing w:val="12"/>
        </w:rPr>
        <w:t> </w:t>
      </w:r>
      <w:r>
        <w:rPr/>
        <w:t>have positive</w:t>
      </w:r>
    </w:p>
    <w:p>
      <w:pPr>
        <w:pStyle w:val="BodyText"/>
      </w:pPr>
    </w:p>
    <w:p>
      <w:pPr>
        <w:pStyle w:val="BodyText"/>
        <w:spacing w:before="134"/>
      </w:pPr>
    </w:p>
    <w:p>
      <w:pPr>
        <w:spacing w:before="1"/>
        <w:ind w:left="1365" w:right="1360" w:firstLine="0"/>
        <w:jc w:val="center"/>
        <w:rPr>
          <w:sz w:val="18"/>
        </w:rPr>
      </w:pPr>
      <w:r>
        <w:rPr>
          <w:color w:val="1F1F1F"/>
          <w:spacing w:val="-5"/>
          <w:sz w:val="18"/>
        </w:rPr>
        <w:t>42</w:t>
      </w:r>
    </w:p>
    <w:p>
      <w:pPr>
        <w:spacing w:after="0"/>
        <w:jc w:val="center"/>
        <w:rPr>
          <w:sz w:val="18"/>
        </w:rPr>
        <w:sectPr>
          <w:pgSz w:w="11520" w:h="15120"/>
          <w:pgMar w:top="1120" w:bottom="280" w:left="1440" w:right="1440"/>
          <w:pgBorders w:offsetFrom="page">
            <w:top w:val="single" w:color="D1D3D4" w:space="27" w:sz="2"/>
            <w:left w:val="single" w:color="D1D3D4" w:space="27" w:sz="2"/>
            <w:bottom w:val="single" w:color="D1D3D4" w:space="27" w:sz="2"/>
            <w:right w:val="single" w:color="D1D3D4" w:space="27" w:sz="2"/>
          </w:pgBorders>
        </w:sectPr>
      </w:pPr>
    </w:p>
    <w:p>
      <w:pPr>
        <w:spacing w:line="240" w:lineRule="auto"/>
        <w:ind w:left="2625" w:right="0" w:firstLine="0"/>
        <w:rPr>
          <w:sz w:val="20"/>
        </w:rPr>
      </w:pPr>
      <w:r>
        <w:rPr>
          <w:sz w:val="20"/>
        </w:rPr>
        <w:drawing>
          <wp:inline distT="0" distB="0" distL="0" distR="0">
            <wp:extent cx="2120156" cy="331470"/>
            <wp:effectExtent l="0" t="0" r="0" b="0"/>
            <wp:docPr id="2" name="Image 2"/>
            <wp:cNvGraphicFramePr>
              <a:graphicFrameLocks/>
            </wp:cNvGraphicFramePr>
            <a:graphic>
              <a:graphicData uri="http://schemas.openxmlformats.org/drawingml/2006/picture">
                <pic:pic>
                  <pic:nvPicPr>
                    <pic:cNvPr id="2" name="Image 2"/>
                    <pic:cNvPicPr/>
                  </pic:nvPicPr>
                  <pic:blipFill>
                    <a:blip r:embed="rId5" cstate="print"/>
                    <a:stretch>
                      <a:fillRect/>
                    </a:stretch>
                  </pic:blipFill>
                  <pic:spPr>
                    <a:xfrm>
                      <a:off x="0" y="0"/>
                      <a:ext cx="2120156" cy="331470"/>
                    </a:xfrm>
                    <a:prstGeom prst="rect">
                      <a:avLst/>
                    </a:prstGeom>
                  </pic:spPr>
                </pic:pic>
              </a:graphicData>
            </a:graphic>
          </wp:inline>
        </w:drawing>
      </w:r>
      <w:r>
        <w:rPr>
          <w:sz w:val="20"/>
        </w:rPr>
      </w:r>
    </w:p>
    <w:p>
      <w:pPr>
        <w:pStyle w:val="BodyText"/>
        <w:spacing w:before="61"/>
        <w:rPr>
          <w:sz w:val="28"/>
        </w:rPr>
      </w:pPr>
    </w:p>
    <w:p>
      <w:pPr>
        <w:spacing w:before="0"/>
        <w:ind w:left="1360" w:right="1360" w:firstLine="0"/>
        <w:jc w:val="center"/>
        <w:rPr>
          <w:rFonts w:ascii="Arial"/>
          <w:sz w:val="28"/>
        </w:rPr>
      </w:pPr>
      <w:r>
        <w:rPr>
          <w:rFonts w:ascii="Arial"/>
          <w:sz w:val="28"/>
        </w:rPr>
        <w:t>Only</w:t>
      </w:r>
      <w:r>
        <w:rPr>
          <w:rFonts w:ascii="Arial"/>
          <w:spacing w:val="-4"/>
          <w:sz w:val="28"/>
        </w:rPr>
        <w:t> </w:t>
      </w:r>
      <w:r>
        <w:rPr>
          <w:rFonts w:ascii="Arial"/>
          <w:sz w:val="28"/>
        </w:rPr>
        <w:t>two</w:t>
      </w:r>
      <w:r>
        <w:rPr>
          <w:rFonts w:ascii="Arial"/>
          <w:spacing w:val="-4"/>
          <w:sz w:val="28"/>
        </w:rPr>
        <w:t> </w:t>
      </w:r>
      <w:r>
        <w:rPr>
          <w:rFonts w:ascii="Arial"/>
          <w:sz w:val="28"/>
        </w:rPr>
        <w:t>pages</w:t>
      </w:r>
      <w:r>
        <w:rPr>
          <w:rFonts w:ascii="Arial"/>
          <w:spacing w:val="-4"/>
          <w:sz w:val="28"/>
        </w:rPr>
        <w:t> </w:t>
      </w:r>
      <w:r>
        <w:rPr>
          <w:rFonts w:ascii="Arial"/>
          <w:sz w:val="28"/>
        </w:rPr>
        <w:t>were</w:t>
      </w:r>
      <w:r>
        <w:rPr>
          <w:rFonts w:ascii="Arial"/>
          <w:spacing w:val="-4"/>
          <w:sz w:val="28"/>
        </w:rPr>
        <w:t> </w:t>
      </w:r>
      <w:r>
        <w:rPr>
          <w:rFonts w:ascii="Arial"/>
          <w:spacing w:val="-2"/>
          <w:sz w:val="28"/>
        </w:rPr>
        <w:t>converted.</w:t>
      </w:r>
    </w:p>
    <w:p>
      <w:pPr>
        <w:spacing w:before="161"/>
        <w:ind w:left="1360" w:right="1360" w:firstLine="0"/>
        <w:jc w:val="center"/>
        <w:rPr>
          <w:rFonts w:ascii="Arial"/>
          <w:sz w:val="28"/>
        </w:rPr>
      </w:pPr>
      <w:r>
        <w:rPr>
          <w:rFonts w:ascii="Arial"/>
          <w:sz w:val="28"/>
        </w:rPr>
        <w:t>Please</w:t>
      </w:r>
      <w:r>
        <w:rPr>
          <w:rFonts w:ascii="Arial"/>
          <w:spacing w:val="-6"/>
          <w:sz w:val="28"/>
        </w:rPr>
        <w:t> </w:t>
      </w:r>
      <w:r>
        <w:rPr>
          <w:rFonts w:ascii="Arial"/>
          <w:b/>
          <w:sz w:val="28"/>
        </w:rPr>
        <w:t>Sign</w:t>
      </w:r>
      <w:r>
        <w:rPr>
          <w:rFonts w:ascii="Arial"/>
          <w:b/>
          <w:spacing w:val="-4"/>
          <w:sz w:val="28"/>
        </w:rPr>
        <w:t> </w:t>
      </w:r>
      <w:r>
        <w:rPr>
          <w:rFonts w:ascii="Arial"/>
          <w:b/>
          <w:sz w:val="28"/>
        </w:rPr>
        <w:t>Up</w:t>
      </w:r>
      <w:r>
        <w:rPr>
          <w:rFonts w:ascii="Arial"/>
          <w:b/>
          <w:spacing w:val="-4"/>
          <w:sz w:val="28"/>
        </w:rPr>
        <w:t> </w:t>
      </w:r>
      <w:r>
        <w:rPr>
          <w:rFonts w:ascii="Arial"/>
          <w:sz w:val="28"/>
        </w:rPr>
        <w:t>to</w:t>
      </w:r>
      <w:r>
        <w:rPr>
          <w:rFonts w:ascii="Arial"/>
          <w:spacing w:val="-4"/>
          <w:sz w:val="28"/>
        </w:rPr>
        <w:t> </w:t>
      </w:r>
      <w:r>
        <w:rPr>
          <w:rFonts w:ascii="Arial"/>
          <w:sz w:val="28"/>
        </w:rPr>
        <w:t>convert</w:t>
      </w:r>
      <w:r>
        <w:rPr>
          <w:rFonts w:ascii="Arial"/>
          <w:spacing w:val="-4"/>
          <w:sz w:val="28"/>
        </w:rPr>
        <w:t> </w:t>
      </w:r>
      <w:r>
        <w:rPr>
          <w:rFonts w:ascii="Arial"/>
          <w:sz w:val="28"/>
        </w:rPr>
        <w:t>the</w:t>
      </w:r>
      <w:r>
        <w:rPr>
          <w:rFonts w:ascii="Arial"/>
          <w:spacing w:val="-4"/>
          <w:sz w:val="28"/>
        </w:rPr>
        <w:t> </w:t>
      </w:r>
      <w:r>
        <w:rPr>
          <w:rFonts w:ascii="Arial"/>
          <w:sz w:val="28"/>
        </w:rPr>
        <w:t>full</w:t>
      </w:r>
      <w:r>
        <w:rPr>
          <w:rFonts w:ascii="Arial"/>
          <w:spacing w:val="-4"/>
          <w:sz w:val="28"/>
        </w:rPr>
        <w:t> </w:t>
      </w:r>
      <w:r>
        <w:rPr>
          <w:rFonts w:ascii="Arial"/>
          <w:spacing w:val="-2"/>
          <w:sz w:val="28"/>
        </w:rPr>
        <w:t>document.</w:t>
      </w:r>
    </w:p>
    <w:p>
      <w:pPr>
        <w:pStyle w:val="BodyText"/>
        <w:spacing w:before="183"/>
        <w:rPr>
          <w:rFonts w:ascii="Arial"/>
          <w:sz w:val="28"/>
        </w:rPr>
      </w:pPr>
    </w:p>
    <w:p>
      <w:pPr>
        <w:spacing w:before="0"/>
        <w:ind w:left="1360" w:right="1360" w:firstLine="0"/>
        <w:jc w:val="center"/>
        <w:rPr>
          <w:rFonts w:ascii="Arial"/>
          <w:b/>
          <w:sz w:val="30"/>
        </w:rPr>
      </w:pPr>
      <w:hyperlink r:id="rId6">
        <w:r>
          <w:rPr>
            <w:rFonts w:ascii="Arial"/>
            <w:b/>
            <w:color w:val="2980B9"/>
            <w:spacing w:val="-2"/>
            <w:sz w:val="30"/>
            <w:u w:val="single" w:color="2980B9"/>
          </w:rPr>
          <w:t>www.freepdfconvert.com/membership</w:t>
        </w:r>
      </w:hyperlink>
    </w:p>
    <w:sectPr>
      <w:pgSz w:w="12240" w:h="15840"/>
      <w:pgMar w:top="1480" w:bottom="280" w:left="1800" w:right="18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mbria">
    <w:altName w:val="Cambria"/>
    <w:charset w:val="0"/>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1"/>
      <w:numFmt w:val="decimal"/>
      <w:lvlText w:val="%1."/>
      <w:lvlJc w:val="left"/>
      <w:pPr>
        <w:ind w:left="393" w:hanging="217"/>
        <w:jc w:val="left"/>
      </w:pPr>
      <w:rPr>
        <w:rFonts w:hint="default" w:ascii="Times New Roman" w:hAnsi="Times New Roman" w:eastAsia="Times New Roman" w:cs="Times New Roman"/>
        <w:b/>
        <w:bCs/>
        <w:i w:val="0"/>
        <w:iCs w:val="0"/>
        <w:spacing w:val="0"/>
        <w:w w:val="96"/>
        <w:sz w:val="23"/>
        <w:szCs w:val="23"/>
        <w:lang w:val="en-US" w:eastAsia="en-US" w:bidi="ar-SA"/>
      </w:rPr>
    </w:lvl>
    <w:lvl w:ilvl="1">
      <w:start w:val="0"/>
      <w:numFmt w:val="bullet"/>
      <w:lvlText w:val="•"/>
      <w:lvlJc w:val="left"/>
      <w:pPr>
        <w:ind w:left="1224" w:hanging="217"/>
      </w:pPr>
      <w:rPr>
        <w:rFonts w:hint="default"/>
        <w:lang w:val="en-US" w:eastAsia="en-US" w:bidi="ar-SA"/>
      </w:rPr>
    </w:lvl>
    <w:lvl w:ilvl="2">
      <w:start w:val="0"/>
      <w:numFmt w:val="bullet"/>
      <w:lvlText w:val="•"/>
      <w:lvlJc w:val="left"/>
      <w:pPr>
        <w:ind w:left="2048" w:hanging="217"/>
      </w:pPr>
      <w:rPr>
        <w:rFonts w:hint="default"/>
        <w:lang w:val="en-US" w:eastAsia="en-US" w:bidi="ar-SA"/>
      </w:rPr>
    </w:lvl>
    <w:lvl w:ilvl="3">
      <w:start w:val="0"/>
      <w:numFmt w:val="bullet"/>
      <w:lvlText w:val="•"/>
      <w:lvlJc w:val="left"/>
      <w:pPr>
        <w:ind w:left="2872" w:hanging="217"/>
      </w:pPr>
      <w:rPr>
        <w:rFonts w:hint="default"/>
        <w:lang w:val="en-US" w:eastAsia="en-US" w:bidi="ar-SA"/>
      </w:rPr>
    </w:lvl>
    <w:lvl w:ilvl="4">
      <w:start w:val="0"/>
      <w:numFmt w:val="bullet"/>
      <w:lvlText w:val="•"/>
      <w:lvlJc w:val="left"/>
      <w:pPr>
        <w:ind w:left="3696" w:hanging="217"/>
      </w:pPr>
      <w:rPr>
        <w:rFonts w:hint="default"/>
        <w:lang w:val="en-US" w:eastAsia="en-US" w:bidi="ar-SA"/>
      </w:rPr>
    </w:lvl>
    <w:lvl w:ilvl="5">
      <w:start w:val="0"/>
      <w:numFmt w:val="bullet"/>
      <w:lvlText w:val="•"/>
      <w:lvlJc w:val="left"/>
      <w:pPr>
        <w:ind w:left="4520" w:hanging="217"/>
      </w:pPr>
      <w:rPr>
        <w:rFonts w:hint="default"/>
        <w:lang w:val="en-US" w:eastAsia="en-US" w:bidi="ar-SA"/>
      </w:rPr>
    </w:lvl>
    <w:lvl w:ilvl="6">
      <w:start w:val="0"/>
      <w:numFmt w:val="bullet"/>
      <w:lvlText w:val="•"/>
      <w:lvlJc w:val="left"/>
      <w:pPr>
        <w:ind w:left="5344" w:hanging="217"/>
      </w:pPr>
      <w:rPr>
        <w:rFonts w:hint="default"/>
        <w:lang w:val="en-US" w:eastAsia="en-US" w:bidi="ar-SA"/>
      </w:rPr>
    </w:lvl>
    <w:lvl w:ilvl="7">
      <w:start w:val="0"/>
      <w:numFmt w:val="bullet"/>
      <w:lvlText w:val="•"/>
      <w:lvlJc w:val="left"/>
      <w:pPr>
        <w:ind w:left="6168" w:hanging="217"/>
      </w:pPr>
      <w:rPr>
        <w:rFonts w:hint="default"/>
        <w:lang w:val="en-US" w:eastAsia="en-US" w:bidi="ar-SA"/>
      </w:rPr>
    </w:lvl>
    <w:lvl w:ilvl="8">
      <w:start w:val="0"/>
      <w:numFmt w:val="bullet"/>
      <w:lvlText w:val="•"/>
      <w:lvlJc w:val="left"/>
      <w:pPr>
        <w:ind w:left="6992" w:hanging="217"/>
      </w:pPr>
      <w:rPr>
        <w:rFonts w:hint="default"/>
        <w:lang w:val="en-US" w:eastAsia="en-US" w:bidi="ar-SA"/>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en-US" w:eastAsia="en-US" w:bidi="ar-SA"/>
    </w:rPr>
  </w:style>
  <w:style w:styleId="BodyText" w:type="paragraph">
    <w:name w:val="Body Text"/>
    <w:basedOn w:val="Normal"/>
    <w:uiPriority w:val="1"/>
    <w:qFormat/>
    <w:pPr/>
    <w:rPr>
      <w:rFonts w:ascii="Times New Roman" w:hAnsi="Times New Roman" w:eastAsia="Times New Roman" w:cs="Times New Roman"/>
      <w:sz w:val="23"/>
      <w:szCs w:val="23"/>
      <w:lang w:val="en-US" w:eastAsia="en-US" w:bidi="ar-SA"/>
    </w:rPr>
  </w:style>
  <w:style w:styleId="Heading1" w:type="paragraph">
    <w:name w:val="Heading 1"/>
    <w:basedOn w:val="Normal"/>
    <w:uiPriority w:val="1"/>
    <w:qFormat/>
    <w:pPr>
      <w:ind w:left="392" w:hanging="216"/>
      <w:jc w:val="both"/>
      <w:outlineLvl w:val="1"/>
    </w:pPr>
    <w:rPr>
      <w:rFonts w:ascii="Times New Roman" w:hAnsi="Times New Roman" w:eastAsia="Times New Roman" w:cs="Times New Roman"/>
      <w:b/>
      <w:bCs/>
      <w:sz w:val="23"/>
      <w:szCs w:val="23"/>
      <w:lang w:val="en-US" w:eastAsia="en-US" w:bidi="ar-SA"/>
    </w:rPr>
  </w:style>
  <w:style w:styleId="ListParagraph" w:type="paragraph">
    <w:name w:val="List Paragraph"/>
    <w:basedOn w:val="Normal"/>
    <w:uiPriority w:val="1"/>
    <w:qFormat/>
    <w:pPr>
      <w:ind w:left="392" w:hanging="216"/>
      <w:jc w:val="both"/>
    </w:pPr>
    <w:rPr>
      <w:rFonts w:ascii="Times New Roman" w:hAnsi="Times New Roman" w:eastAsia="Times New Roman" w:cs="Times New Roman"/>
      <w:lang w:val="en-US" w:eastAsia="en-US" w:bidi="ar-SA"/>
    </w:rPr>
  </w:style>
  <w:style w:styleId="TableParagraph" w:type="paragraph">
    <w:name w:val="Table Paragraph"/>
    <w:basedOn w:val="Normal"/>
    <w:uiPriority w:val="1"/>
    <w:qFormat/>
    <w:pPr/>
    <w:rPr>
      <w:lang w:val="en-US"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hyperlink" Target="https://www.freepdfconvert.com/membership" TargetMode="External"/><Relationship Id="rId7"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Tazul</dc:creator>
  <dc:title>Journal (B) 2023.cdr</dc:title>
  <dcterms:created xsi:type="dcterms:W3CDTF">2026-01-06T05:07:41Z</dcterms:created>
  <dcterms:modified xsi:type="dcterms:W3CDTF">2026-01-06T05:07:41Z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2025-12-10T00:00:00Z</vt:filetime>
  </property>
  <property fmtid="{D5CDD505-2E9C-101B-9397-08002B2CF9AE}" pid="3" name="Creator">
    <vt:lpwstr>CorelDRAW 2021</vt:lpwstr>
  </property>
  <property fmtid="{D5CDD505-2E9C-101B-9397-08002B2CF9AE}" pid="4" name="LastSaved">
    <vt:filetime>2026-01-06T00:00:00Z</vt:filetime>
  </property>
  <property fmtid="{D5CDD505-2E9C-101B-9397-08002B2CF9AE}" pid="5" name="Producer">
    <vt:lpwstr>Corel PDF Engine Version 23.1.0.389</vt:lpwstr>
  </property>
</Properties>
</file>